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0FD" w:rsidRPr="001B783E" w:rsidRDefault="008500FD" w:rsidP="008500FD">
      <w:pPr>
        <w:rPr>
          <w:rFonts w:ascii="Arial" w:hAnsi="Arial" w:cs="Arial"/>
          <w:b/>
          <w:bCs/>
          <w:i/>
          <w:iCs/>
          <w:sz w:val="18"/>
          <w:szCs w:val="18"/>
        </w:rPr>
      </w:pPr>
      <w:r w:rsidRPr="0089684E">
        <w:rPr>
          <w:rFonts w:ascii="Arial" w:hAnsi="Arial" w:cs="Arial"/>
          <w:b/>
          <w:bCs/>
          <w:i/>
          <w:iCs/>
          <w:sz w:val="28"/>
          <w:szCs w:val="28"/>
        </w:rPr>
        <w:t>Standard 3.A - Purpose and Organization</w:t>
      </w:r>
      <w:r>
        <w:rPr>
          <w:rFonts w:ascii="Arial" w:hAnsi="Arial" w:cs="Arial"/>
          <w:b/>
          <w:bCs/>
          <w:i/>
          <w:iCs/>
          <w:sz w:val="28"/>
          <w:szCs w:val="28"/>
        </w:rPr>
        <w:t xml:space="preserve"> </w:t>
      </w:r>
      <w:r w:rsidR="00D56B1A">
        <w:rPr>
          <w:rFonts w:ascii="Arial" w:hAnsi="Arial" w:cs="Arial"/>
          <w:b/>
          <w:bCs/>
          <w:i/>
          <w:iCs/>
          <w:sz w:val="18"/>
          <w:szCs w:val="18"/>
        </w:rPr>
        <w:t>(1/29</w:t>
      </w:r>
      <w:r>
        <w:rPr>
          <w:rFonts w:ascii="Arial" w:hAnsi="Arial" w:cs="Arial"/>
          <w:b/>
          <w:bCs/>
          <w:i/>
          <w:iCs/>
          <w:sz w:val="18"/>
          <w:szCs w:val="18"/>
        </w:rPr>
        <w:t>/10 draft)</w:t>
      </w:r>
    </w:p>
    <w:p w:rsidR="008500FD" w:rsidRPr="001B783E" w:rsidRDefault="008500FD" w:rsidP="008500FD">
      <w:pPr>
        <w:rPr>
          <w:rFonts w:ascii="Arial" w:hAnsi="Arial" w:cs="Arial"/>
          <w:b/>
          <w:bCs/>
          <w:i/>
          <w:iCs/>
          <w:sz w:val="22"/>
          <w:szCs w:val="22"/>
        </w:rPr>
      </w:pPr>
    </w:p>
    <w:p w:rsidR="008500FD" w:rsidRDefault="008500FD" w:rsidP="008500FD">
      <w:pPr>
        <w:rPr>
          <w:rFonts w:ascii="Arial" w:hAnsi="Arial" w:cs="Arial"/>
          <w:bCs/>
          <w:i/>
          <w:iCs/>
          <w:sz w:val="20"/>
          <w:szCs w:val="20"/>
        </w:rPr>
      </w:pPr>
      <w:r w:rsidRPr="000142A1">
        <w:rPr>
          <w:rFonts w:ascii="Arial" w:hAnsi="Arial" w:cs="Arial"/>
          <w:b/>
          <w:bCs/>
          <w:i/>
          <w:iCs/>
          <w:sz w:val="22"/>
          <w:szCs w:val="22"/>
        </w:rPr>
        <w:t>Student programs and services support the achievement of the institution’s mission and goals by contributing to the educational development of its students.  Student programs and services are consistent with the educational philosophy of the institution.  The institution provides essential support services for students, regardless of where or how enrolled and by whatever means educational programs are offered</w:t>
      </w:r>
      <w:r>
        <w:rPr>
          <w:rFonts w:ascii="Arial" w:hAnsi="Arial" w:cs="Arial"/>
          <w:b/>
          <w:bCs/>
          <w:i/>
          <w:iCs/>
          <w:sz w:val="22"/>
          <w:szCs w:val="22"/>
        </w:rPr>
        <w:t>.</w:t>
      </w:r>
    </w:p>
    <w:p w:rsidR="008500FD" w:rsidRPr="00800E0F" w:rsidRDefault="008500FD" w:rsidP="008500FD">
      <w:pPr>
        <w:rPr>
          <w:rFonts w:ascii="Arial" w:hAnsi="Arial" w:cs="Arial"/>
          <w:bCs/>
          <w:i/>
          <w:iCs/>
          <w:sz w:val="20"/>
          <w:szCs w:val="20"/>
        </w:rPr>
      </w:pPr>
      <w:r w:rsidRPr="00800E0F">
        <w:rPr>
          <w:rFonts w:ascii="Arial" w:hAnsi="Arial" w:cs="Arial"/>
          <w:bCs/>
          <w:i/>
          <w:iCs/>
          <w:sz w:val="20"/>
          <w:szCs w:val="20"/>
        </w:rPr>
        <w:t>.</w:t>
      </w:r>
    </w:p>
    <w:p w:rsidR="008500FD" w:rsidRDefault="008500FD" w:rsidP="008500FD">
      <w:pPr>
        <w:rPr>
          <w:rFonts w:ascii="Arial" w:hAnsi="Arial" w:cs="Arial"/>
          <w:b/>
          <w:sz w:val="22"/>
          <w:szCs w:val="22"/>
        </w:rPr>
      </w:pPr>
      <w:r>
        <w:rPr>
          <w:rFonts w:ascii="Arial" w:hAnsi="Arial" w:cs="Arial"/>
          <w:b/>
          <w:sz w:val="22"/>
          <w:szCs w:val="22"/>
        </w:rPr>
        <w:t>3.A.1</w:t>
      </w:r>
      <w:r>
        <w:rPr>
          <w:rFonts w:ascii="Arial" w:hAnsi="Arial" w:cs="Arial"/>
          <w:b/>
          <w:sz w:val="22"/>
          <w:szCs w:val="22"/>
        </w:rPr>
        <w:tab/>
      </w:r>
      <w:r w:rsidRPr="0089684E">
        <w:rPr>
          <w:rFonts w:ascii="Arial" w:hAnsi="Arial" w:cs="Arial"/>
          <w:b/>
          <w:sz w:val="22"/>
          <w:szCs w:val="22"/>
        </w:rPr>
        <w:t>The organization of student services is effective in providing adequate services consistent with the mission and goals of the institution.</w:t>
      </w:r>
    </w:p>
    <w:p w:rsidR="008500FD" w:rsidRDefault="008500FD" w:rsidP="008500FD">
      <w:pPr>
        <w:spacing w:after="200"/>
        <w:contextualSpacing/>
        <w:rPr>
          <w:rFonts w:ascii="Arial" w:hAnsi="Arial" w:cs="Arial"/>
          <w:sz w:val="22"/>
          <w:szCs w:val="22"/>
        </w:rPr>
      </w:pPr>
    </w:p>
    <w:p w:rsidR="008500FD" w:rsidRDefault="008500FD" w:rsidP="008500FD">
      <w:pPr>
        <w:spacing w:after="200"/>
        <w:contextualSpacing/>
        <w:rPr>
          <w:rFonts w:ascii="Arial" w:hAnsi="Arial" w:cs="Arial"/>
          <w:color w:val="0033CC"/>
          <w:sz w:val="22"/>
          <w:szCs w:val="22"/>
        </w:rPr>
      </w:pPr>
      <w:r w:rsidRPr="00BA2291">
        <w:rPr>
          <w:rFonts w:ascii="Arial" w:hAnsi="Arial" w:cs="Arial"/>
          <w:sz w:val="22"/>
          <w:szCs w:val="22"/>
        </w:rPr>
        <w:t xml:space="preserve">Montana Tech’s Student Services Organization provides academic and support services as part of Montana Tech’s mission to meet the changing needs of society. Tech’s mission focuses on supplying knowledge and education through a strong undergraduate curriculum, which is augmented by research, graduate education, and by service.  Under the primary leadership of the Vice Chancellor of Development and Student Services - in collaboration </w:t>
      </w:r>
      <w:r>
        <w:rPr>
          <w:rFonts w:ascii="Arial" w:hAnsi="Arial" w:cs="Arial"/>
          <w:sz w:val="22"/>
          <w:szCs w:val="22"/>
        </w:rPr>
        <w:t xml:space="preserve">with </w:t>
      </w:r>
      <w:r w:rsidRPr="00BA2291">
        <w:rPr>
          <w:rFonts w:ascii="Arial" w:hAnsi="Arial" w:cs="Arial"/>
          <w:sz w:val="22"/>
          <w:szCs w:val="22"/>
        </w:rPr>
        <w:t>both Academic Affairs and with Administration &amp; Finance - a coordinated student centered approach is in place to provide services.  Figure 3.</w:t>
      </w:r>
      <w:r>
        <w:rPr>
          <w:rFonts w:ascii="Arial" w:hAnsi="Arial" w:cs="Arial"/>
          <w:sz w:val="22"/>
          <w:szCs w:val="22"/>
        </w:rPr>
        <w:t>A.</w:t>
      </w:r>
      <w:r w:rsidRPr="00BA2291">
        <w:rPr>
          <w:rFonts w:ascii="Arial" w:hAnsi="Arial" w:cs="Arial"/>
          <w:sz w:val="22"/>
          <w:szCs w:val="22"/>
        </w:rPr>
        <w:t xml:space="preserve">1 shows the structure of Montana Tech’s Student Services Organization as it assists students at both the North and the South Campuses. </w:t>
      </w:r>
    </w:p>
    <w:tbl>
      <w:tblPr>
        <w:tblW w:w="7058" w:type="pct"/>
        <w:tblLook w:val="00A0"/>
      </w:tblPr>
      <w:tblGrid>
        <w:gridCol w:w="13517"/>
      </w:tblGrid>
      <w:tr w:rsidR="008500FD" w:rsidTr="008500FD">
        <w:trPr>
          <w:trHeight w:val="6048"/>
        </w:trPr>
        <w:tc>
          <w:tcPr>
            <w:tcW w:w="5000" w:type="pct"/>
            <w:vAlign w:val="center"/>
          </w:tcPr>
          <w:p w:rsidR="008500FD" w:rsidRPr="00DF4503" w:rsidRDefault="008500FD" w:rsidP="008500FD">
            <w:pPr>
              <w:rPr>
                <w:rFonts w:ascii="Calibri" w:hAnsi="Calibri"/>
              </w:rPr>
            </w:pPr>
            <w:r w:rsidRPr="000B11DE">
              <w:object w:dxaOrig="15208" w:dyaOrig="8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6pt;height:248.4pt" o:ole="" o:bordertopcolor="this" o:borderleftcolor="this" o:borderbottomcolor="this" o:borderrightcolor="this">
                  <v:imagedata r:id="rId8" o:title=""/>
                  <w10:bordertop type="single" width="12"/>
                  <w10:borderleft type="single" width="12"/>
                  <w10:borderbottom type="single" width="12"/>
                  <w10:borderright type="single" width="12"/>
                </v:shape>
                <o:OLEObject Type="Embed" ProgID="Visio.Drawing.11" ShapeID="_x0000_i1025" DrawAspect="Content" ObjectID="_1326279264" r:id="rId9"/>
              </w:object>
            </w:r>
          </w:p>
        </w:tc>
      </w:tr>
    </w:tbl>
    <w:p w:rsidR="008500FD" w:rsidRDefault="008500FD" w:rsidP="008500FD">
      <w:pPr>
        <w:pStyle w:val="ListParagraph"/>
        <w:spacing w:after="200"/>
        <w:ind w:left="360"/>
        <w:contextualSpacing/>
        <w:jc w:val="center"/>
        <w:rPr>
          <w:b/>
          <w:sz w:val="22"/>
          <w:szCs w:val="22"/>
        </w:rPr>
      </w:pPr>
      <w:r w:rsidRPr="00BA579E">
        <w:rPr>
          <w:b/>
          <w:sz w:val="22"/>
          <w:szCs w:val="22"/>
        </w:rPr>
        <w:t>Figure 3.</w:t>
      </w:r>
      <w:r>
        <w:rPr>
          <w:b/>
          <w:sz w:val="22"/>
          <w:szCs w:val="22"/>
        </w:rPr>
        <w:t>A.</w:t>
      </w:r>
      <w:r w:rsidRPr="00BA579E">
        <w:rPr>
          <w:b/>
          <w:sz w:val="22"/>
          <w:szCs w:val="22"/>
        </w:rPr>
        <w:t>1</w:t>
      </w:r>
      <w:r>
        <w:rPr>
          <w:b/>
          <w:sz w:val="22"/>
          <w:szCs w:val="22"/>
        </w:rPr>
        <w:t xml:space="preserve">: </w:t>
      </w:r>
      <w:r w:rsidRPr="00BA579E">
        <w:rPr>
          <w:b/>
          <w:sz w:val="22"/>
          <w:szCs w:val="22"/>
        </w:rPr>
        <w:t xml:space="preserve"> Student </w:t>
      </w:r>
      <w:r>
        <w:rPr>
          <w:b/>
          <w:sz w:val="22"/>
          <w:szCs w:val="22"/>
        </w:rPr>
        <w:t xml:space="preserve">Services </w:t>
      </w:r>
      <w:r w:rsidRPr="00BA579E">
        <w:rPr>
          <w:b/>
          <w:sz w:val="22"/>
          <w:szCs w:val="22"/>
        </w:rPr>
        <w:t>Organizational Chart</w:t>
      </w: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3747F7" w:rsidRDefault="00237FCC" w:rsidP="001B4D6A">
      <w:pPr>
        <w:pStyle w:val="ListParagraph"/>
        <w:spacing w:after="200"/>
        <w:ind w:left="360"/>
        <w:contextualSpacing/>
        <w:rPr>
          <w:sz w:val="22"/>
          <w:szCs w:val="22"/>
        </w:rPr>
      </w:pPr>
      <w:r>
        <w:rPr>
          <w:sz w:val="22"/>
          <w:szCs w:val="22"/>
        </w:rPr>
        <w:lastRenderedPageBreak/>
        <w:t>Student Services</w:t>
      </w:r>
      <w:r w:rsidR="007626BD" w:rsidRPr="00535D37">
        <w:rPr>
          <w:sz w:val="22"/>
          <w:szCs w:val="22"/>
        </w:rPr>
        <w:t xml:space="preserve"> </w:t>
      </w:r>
      <w:r w:rsidR="007626BD">
        <w:rPr>
          <w:sz w:val="22"/>
          <w:szCs w:val="22"/>
        </w:rPr>
        <w:t xml:space="preserve">was </w:t>
      </w:r>
      <w:r w:rsidR="007626BD" w:rsidRPr="00B855D1">
        <w:rPr>
          <w:sz w:val="22"/>
          <w:szCs w:val="22"/>
        </w:rPr>
        <w:t>re</w:t>
      </w:r>
      <w:r w:rsidR="007626BD">
        <w:rPr>
          <w:sz w:val="22"/>
          <w:szCs w:val="22"/>
        </w:rPr>
        <w:t xml:space="preserve">organized </w:t>
      </w:r>
      <w:r w:rsidR="007626BD" w:rsidRPr="00535D37">
        <w:rPr>
          <w:sz w:val="22"/>
          <w:szCs w:val="22"/>
        </w:rPr>
        <w:t xml:space="preserve">to provide more </w:t>
      </w:r>
      <w:r w:rsidR="00D30CDC" w:rsidRPr="00535D37">
        <w:rPr>
          <w:sz w:val="22"/>
          <w:szCs w:val="22"/>
        </w:rPr>
        <w:t>focused</w:t>
      </w:r>
      <w:r w:rsidR="007626BD" w:rsidRPr="00535D37">
        <w:rPr>
          <w:sz w:val="22"/>
          <w:szCs w:val="22"/>
        </w:rPr>
        <w:t xml:space="preserve"> and consistent </w:t>
      </w:r>
      <w:r w:rsidR="007626BD">
        <w:rPr>
          <w:sz w:val="22"/>
          <w:szCs w:val="22"/>
        </w:rPr>
        <w:t xml:space="preserve">services </w:t>
      </w:r>
      <w:r w:rsidR="007626BD" w:rsidRPr="00535D37">
        <w:rPr>
          <w:sz w:val="22"/>
          <w:szCs w:val="22"/>
        </w:rPr>
        <w:t xml:space="preserve">to </w:t>
      </w:r>
      <w:r w:rsidR="00726176">
        <w:rPr>
          <w:sz w:val="22"/>
          <w:szCs w:val="22"/>
        </w:rPr>
        <w:t>Tech students.  The structure found above</w:t>
      </w:r>
      <w:r w:rsidR="007626BD" w:rsidRPr="00535D37">
        <w:rPr>
          <w:sz w:val="22"/>
          <w:szCs w:val="22"/>
        </w:rPr>
        <w:t xml:space="preserve"> was put int</w:t>
      </w:r>
      <w:r w:rsidR="00726176">
        <w:rPr>
          <w:sz w:val="22"/>
          <w:szCs w:val="22"/>
        </w:rPr>
        <w:t>o place February of 2008.  S</w:t>
      </w:r>
      <w:r w:rsidR="007626BD" w:rsidRPr="00535D37">
        <w:rPr>
          <w:sz w:val="22"/>
          <w:szCs w:val="22"/>
        </w:rPr>
        <w:t>ignificant changes that occurred during t</w:t>
      </w:r>
      <w:r w:rsidR="007626BD">
        <w:rPr>
          <w:sz w:val="22"/>
          <w:szCs w:val="22"/>
        </w:rPr>
        <w:t xml:space="preserve">his </w:t>
      </w:r>
      <w:r w:rsidR="00726176">
        <w:rPr>
          <w:sz w:val="22"/>
          <w:szCs w:val="22"/>
        </w:rPr>
        <w:t>re</w:t>
      </w:r>
      <w:r w:rsidR="007626BD">
        <w:rPr>
          <w:sz w:val="22"/>
          <w:szCs w:val="22"/>
        </w:rPr>
        <w:t>organization are as follows:</w:t>
      </w:r>
    </w:p>
    <w:p w:rsidR="003747F7" w:rsidRDefault="003747F7" w:rsidP="001B4D6A">
      <w:pPr>
        <w:pStyle w:val="ListParagraph"/>
        <w:spacing w:after="200"/>
        <w:ind w:left="360"/>
        <w:contextualSpacing/>
        <w:rPr>
          <w:sz w:val="22"/>
          <w:szCs w:val="22"/>
        </w:rPr>
      </w:pPr>
    </w:p>
    <w:p w:rsidR="00F3789F" w:rsidRPr="00535D37" w:rsidRDefault="00F3789F" w:rsidP="001B4D6A">
      <w:pPr>
        <w:pStyle w:val="ListParagraph"/>
        <w:numPr>
          <w:ilvl w:val="0"/>
          <w:numId w:val="22"/>
        </w:numPr>
        <w:spacing w:after="200"/>
        <w:contextualSpacing/>
        <w:rPr>
          <w:sz w:val="22"/>
          <w:szCs w:val="22"/>
        </w:rPr>
      </w:pPr>
      <w:r w:rsidRPr="00535D37">
        <w:rPr>
          <w:sz w:val="22"/>
          <w:szCs w:val="22"/>
        </w:rPr>
        <w:t xml:space="preserve">The position of Associate Vice Chancellor for Student Services was created to </w:t>
      </w:r>
      <w:r w:rsidR="00726176">
        <w:rPr>
          <w:sz w:val="22"/>
          <w:szCs w:val="22"/>
        </w:rPr>
        <w:t>manage</w:t>
      </w:r>
      <w:r w:rsidRPr="00535D37">
        <w:rPr>
          <w:sz w:val="22"/>
          <w:szCs w:val="22"/>
        </w:rPr>
        <w:t xml:space="preserve"> the entire </w:t>
      </w:r>
      <w:r>
        <w:rPr>
          <w:sz w:val="22"/>
          <w:szCs w:val="22"/>
        </w:rPr>
        <w:t xml:space="preserve">student services organization. </w:t>
      </w:r>
      <w:r w:rsidRPr="00535D37">
        <w:rPr>
          <w:sz w:val="22"/>
          <w:szCs w:val="22"/>
        </w:rPr>
        <w:t>The position was filled with a senior employee from Montana Tech</w:t>
      </w:r>
      <w:r>
        <w:rPr>
          <w:sz w:val="22"/>
          <w:szCs w:val="22"/>
        </w:rPr>
        <w:t>, who</w:t>
      </w:r>
      <w:r w:rsidRPr="00535D37">
        <w:rPr>
          <w:sz w:val="22"/>
          <w:szCs w:val="22"/>
        </w:rPr>
        <w:t xml:space="preserve"> formerly serv</w:t>
      </w:r>
      <w:r>
        <w:rPr>
          <w:sz w:val="22"/>
          <w:szCs w:val="22"/>
        </w:rPr>
        <w:t>ed</w:t>
      </w:r>
      <w:r w:rsidRPr="00535D37">
        <w:rPr>
          <w:sz w:val="22"/>
          <w:szCs w:val="22"/>
        </w:rPr>
        <w:t xml:space="preserve"> </w:t>
      </w:r>
      <w:r w:rsidR="00CE68E1">
        <w:rPr>
          <w:sz w:val="22"/>
          <w:szCs w:val="22"/>
        </w:rPr>
        <w:t xml:space="preserve">solely </w:t>
      </w:r>
      <w:r w:rsidRPr="00535D37">
        <w:rPr>
          <w:sz w:val="22"/>
          <w:szCs w:val="22"/>
        </w:rPr>
        <w:t>as the Dean of Students.</w:t>
      </w:r>
    </w:p>
    <w:p w:rsidR="00F3789F" w:rsidRPr="003E0507" w:rsidRDefault="00CE68E1" w:rsidP="001B4D6A">
      <w:pPr>
        <w:pStyle w:val="ListParagraph"/>
        <w:numPr>
          <w:ilvl w:val="0"/>
          <w:numId w:val="22"/>
        </w:numPr>
        <w:spacing w:after="200"/>
        <w:contextualSpacing/>
        <w:rPr>
          <w:i/>
          <w:sz w:val="22"/>
          <w:szCs w:val="22"/>
        </w:rPr>
      </w:pPr>
      <w:r>
        <w:rPr>
          <w:sz w:val="22"/>
          <w:szCs w:val="22"/>
        </w:rPr>
        <w:t>The O</w:t>
      </w:r>
      <w:r w:rsidR="00F3789F" w:rsidRPr="00F207DB">
        <w:rPr>
          <w:sz w:val="22"/>
          <w:szCs w:val="22"/>
        </w:rPr>
        <w:t>ffice of Enrollment Services was created to</w:t>
      </w:r>
      <w:r w:rsidR="006C4EE4">
        <w:rPr>
          <w:sz w:val="22"/>
          <w:szCs w:val="22"/>
        </w:rPr>
        <w:t xml:space="preserve"> handle all of</w:t>
      </w:r>
      <w:r w:rsidR="00F3789F" w:rsidRPr="00F207DB">
        <w:rPr>
          <w:sz w:val="22"/>
          <w:szCs w:val="22"/>
        </w:rPr>
        <w:t xml:space="preserve"> student traffic relative to admissions, registrar functions, and finan</w:t>
      </w:r>
      <w:r w:rsidR="00F3789F">
        <w:rPr>
          <w:sz w:val="22"/>
          <w:szCs w:val="22"/>
        </w:rPr>
        <w:t>cial aid.  In essence, this one-stop-</w:t>
      </w:r>
      <w:r w:rsidR="00F3789F" w:rsidRPr="00F207DB">
        <w:rPr>
          <w:sz w:val="22"/>
          <w:szCs w:val="22"/>
        </w:rPr>
        <w:t xml:space="preserve">shop will serve the face-to-face needs of our students for </w:t>
      </w:r>
      <w:r w:rsidR="007341B7">
        <w:rPr>
          <w:sz w:val="22"/>
          <w:szCs w:val="22"/>
        </w:rPr>
        <w:t>nearly all of their</w:t>
      </w:r>
      <w:r w:rsidR="00F3789F" w:rsidRPr="00F207DB">
        <w:rPr>
          <w:sz w:val="22"/>
          <w:szCs w:val="22"/>
        </w:rPr>
        <w:t xml:space="preserve"> requests.</w:t>
      </w:r>
    </w:p>
    <w:p w:rsidR="00F3789F" w:rsidRPr="001B783E" w:rsidRDefault="007341B7" w:rsidP="001B4D6A">
      <w:pPr>
        <w:pStyle w:val="ListParagraph"/>
        <w:numPr>
          <w:ilvl w:val="0"/>
          <w:numId w:val="22"/>
        </w:numPr>
        <w:spacing w:after="200"/>
        <w:contextualSpacing/>
        <w:rPr>
          <w:b/>
          <w:sz w:val="22"/>
          <w:szCs w:val="22"/>
        </w:rPr>
      </w:pPr>
      <w:r>
        <w:rPr>
          <w:sz w:val="22"/>
          <w:szCs w:val="22"/>
        </w:rPr>
        <w:t>The O</w:t>
      </w:r>
      <w:r w:rsidR="00F3789F" w:rsidRPr="001B783E">
        <w:rPr>
          <w:sz w:val="22"/>
          <w:szCs w:val="22"/>
        </w:rPr>
        <w:t>ffice of Enrollment Processing was created to handle the back-office functions of enrollment management.  This office is responsible for financial aid</w:t>
      </w:r>
      <w:r w:rsidR="008500FD">
        <w:rPr>
          <w:sz w:val="22"/>
          <w:szCs w:val="22"/>
        </w:rPr>
        <w:t xml:space="preserve"> and student employment processing,</w:t>
      </w:r>
      <w:r w:rsidR="008C2598" w:rsidRPr="001B783E">
        <w:rPr>
          <w:sz w:val="22"/>
          <w:szCs w:val="22"/>
        </w:rPr>
        <w:t xml:space="preserve"> </w:t>
      </w:r>
      <w:r w:rsidR="00F3789F" w:rsidRPr="001B783E">
        <w:rPr>
          <w:sz w:val="22"/>
          <w:szCs w:val="22"/>
        </w:rPr>
        <w:t>catalog and schedule preparation, prospective student mailings, student academic progress reporting, and many other non face-to-face interactions with students.</w:t>
      </w:r>
      <w:r w:rsidR="0040667B" w:rsidRPr="001B783E">
        <w:rPr>
          <w:sz w:val="22"/>
          <w:szCs w:val="22"/>
        </w:rPr>
        <w:t xml:space="preserve">  (See Exhibit 3.A.I:  </w:t>
      </w:r>
      <w:hyperlink r:id="rId10" w:history="1">
        <w:r w:rsidR="00F3789F" w:rsidRPr="002A5B07">
          <w:rPr>
            <w:rStyle w:val="Hyperlink"/>
            <w:i/>
            <w:sz w:val="22"/>
            <w:szCs w:val="22"/>
          </w:rPr>
          <w:t>Enrollment Services/Processing Organizational Chart</w:t>
        </w:r>
      </w:hyperlink>
      <w:r>
        <w:t>.</w:t>
      </w:r>
      <w:r w:rsidR="0040667B" w:rsidRPr="001B783E">
        <w:rPr>
          <w:sz w:val="22"/>
          <w:szCs w:val="22"/>
        </w:rPr>
        <w:t>)</w:t>
      </w:r>
    </w:p>
    <w:p w:rsidR="00F3789F" w:rsidRPr="00524C47" w:rsidRDefault="008C2598" w:rsidP="001B4D6A">
      <w:pPr>
        <w:spacing w:after="200"/>
        <w:contextualSpacing/>
        <w:rPr>
          <w:rFonts w:ascii="Arial" w:hAnsi="Arial" w:cs="Arial"/>
          <w:b/>
          <w:sz w:val="22"/>
          <w:szCs w:val="22"/>
        </w:rPr>
      </w:pPr>
      <w:r>
        <w:rPr>
          <w:rFonts w:ascii="Arial" w:hAnsi="Arial" w:cs="Arial"/>
          <w:sz w:val="22"/>
          <w:szCs w:val="22"/>
        </w:rPr>
        <w:t>The student services o</w:t>
      </w:r>
      <w:r w:rsidR="00F3789F">
        <w:rPr>
          <w:rFonts w:ascii="Arial" w:hAnsi="Arial" w:cs="Arial"/>
          <w:sz w:val="22"/>
          <w:szCs w:val="22"/>
        </w:rPr>
        <w:t>rganization includes:</w:t>
      </w:r>
    </w:p>
    <w:p w:rsidR="00F3789F" w:rsidRPr="00684DF1" w:rsidRDefault="00F3789F" w:rsidP="001B4D6A">
      <w:pPr>
        <w:pStyle w:val="ListParagraph"/>
        <w:numPr>
          <w:ilvl w:val="0"/>
          <w:numId w:val="22"/>
        </w:numPr>
        <w:spacing w:after="200"/>
        <w:contextualSpacing/>
        <w:rPr>
          <w:color w:val="1F497D"/>
          <w:sz w:val="22"/>
          <w:szCs w:val="22"/>
        </w:rPr>
      </w:pPr>
      <w:r w:rsidRPr="00684DF1">
        <w:rPr>
          <w:b/>
          <w:sz w:val="22"/>
          <w:szCs w:val="22"/>
        </w:rPr>
        <w:t>Recruiting</w:t>
      </w:r>
    </w:p>
    <w:p w:rsidR="00F3789F" w:rsidRPr="00D4603E" w:rsidRDefault="00F3789F" w:rsidP="001B4D6A">
      <w:pPr>
        <w:pStyle w:val="ListParagraph"/>
        <w:spacing w:after="200"/>
        <w:ind w:left="360"/>
        <w:contextualSpacing/>
        <w:rPr>
          <w:i/>
          <w:color w:val="1F497D"/>
          <w:sz w:val="22"/>
          <w:szCs w:val="22"/>
        </w:rPr>
      </w:pPr>
      <w:r w:rsidRPr="00684DF1">
        <w:rPr>
          <w:sz w:val="22"/>
          <w:szCs w:val="22"/>
        </w:rPr>
        <w:t>Four fulltime recruiting representatives promote the college to potential undergraduate, graduate, and transfer students.</w:t>
      </w:r>
      <w:r w:rsidRPr="00684DF1">
        <w:rPr>
          <w:color w:val="1F497D"/>
          <w:sz w:val="22"/>
          <w:szCs w:val="22"/>
        </w:rPr>
        <w:t xml:space="preserve"> </w:t>
      </w:r>
      <w:hyperlink r:id="rId11" w:history="1">
        <w:r w:rsidRPr="00D4603E">
          <w:rPr>
            <w:rStyle w:val="Hyperlink"/>
            <w:i/>
            <w:sz w:val="22"/>
            <w:szCs w:val="22"/>
          </w:rPr>
          <w:t>http://www.mtech.edu/onestop/admission/counselors/WhichCampus.asp</w:t>
        </w:r>
      </w:hyperlink>
    </w:p>
    <w:p w:rsidR="00CE68E1" w:rsidRPr="00D4603E" w:rsidRDefault="00F3789F" w:rsidP="001B4D6A">
      <w:pPr>
        <w:pStyle w:val="ListParagraph"/>
        <w:numPr>
          <w:ilvl w:val="0"/>
          <w:numId w:val="22"/>
        </w:numPr>
        <w:spacing w:after="200"/>
        <w:contextualSpacing/>
        <w:rPr>
          <w:i/>
          <w:sz w:val="22"/>
          <w:szCs w:val="22"/>
        </w:rPr>
      </w:pPr>
      <w:r w:rsidRPr="00D4603E">
        <w:rPr>
          <w:b/>
          <w:i/>
          <w:sz w:val="22"/>
          <w:szCs w:val="22"/>
        </w:rPr>
        <w:t>Counseling</w:t>
      </w:r>
      <w:r w:rsidRPr="00D4603E">
        <w:rPr>
          <w:i/>
        </w:rPr>
        <w:t xml:space="preserve"> </w:t>
      </w:r>
    </w:p>
    <w:p w:rsidR="00F3789F" w:rsidRPr="00D4603E" w:rsidRDefault="00F3789F" w:rsidP="001B4D6A">
      <w:pPr>
        <w:pStyle w:val="ListParagraph"/>
        <w:spacing w:after="200"/>
        <w:ind w:left="360"/>
        <w:contextualSpacing/>
        <w:rPr>
          <w:i/>
          <w:sz w:val="22"/>
          <w:szCs w:val="22"/>
        </w:rPr>
      </w:pPr>
      <w:r>
        <w:rPr>
          <w:sz w:val="22"/>
          <w:szCs w:val="22"/>
        </w:rPr>
        <w:t>Two fulltime licensed therapist</w:t>
      </w:r>
      <w:r w:rsidR="008C2598">
        <w:rPr>
          <w:sz w:val="22"/>
          <w:szCs w:val="22"/>
        </w:rPr>
        <w:t>s</w:t>
      </w:r>
      <w:r w:rsidRPr="00BF185A">
        <w:rPr>
          <w:sz w:val="22"/>
          <w:szCs w:val="22"/>
        </w:rPr>
        <w:t xml:space="preserve"> provide mental health</w:t>
      </w:r>
      <w:r w:rsidR="00CE68E1">
        <w:rPr>
          <w:sz w:val="22"/>
          <w:szCs w:val="22"/>
        </w:rPr>
        <w:t>,</w:t>
      </w:r>
      <w:r w:rsidRPr="00BF185A">
        <w:rPr>
          <w:sz w:val="22"/>
          <w:szCs w:val="22"/>
        </w:rPr>
        <w:t xml:space="preserve"> personal counseling</w:t>
      </w:r>
      <w:r w:rsidR="00CE68E1">
        <w:rPr>
          <w:sz w:val="22"/>
          <w:szCs w:val="22"/>
        </w:rPr>
        <w:t>,</w:t>
      </w:r>
      <w:r w:rsidRPr="00BF185A">
        <w:rPr>
          <w:sz w:val="22"/>
          <w:szCs w:val="22"/>
        </w:rPr>
        <w:t xml:space="preserve"> and </w:t>
      </w:r>
      <w:r w:rsidR="008C2598">
        <w:rPr>
          <w:sz w:val="22"/>
          <w:szCs w:val="22"/>
        </w:rPr>
        <w:t xml:space="preserve">coordinate </w:t>
      </w:r>
      <w:r w:rsidRPr="00BF185A">
        <w:rPr>
          <w:sz w:val="22"/>
          <w:szCs w:val="22"/>
        </w:rPr>
        <w:t>disability services.</w:t>
      </w:r>
    </w:p>
    <w:p w:rsidR="00F3789F" w:rsidRPr="00D4603E" w:rsidRDefault="00E21B15" w:rsidP="001B4D6A">
      <w:pPr>
        <w:pStyle w:val="ListParagraph"/>
        <w:spacing w:after="200"/>
        <w:ind w:left="360"/>
        <w:contextualSpacing/>
        <w:rPr>
          <w:i/>
          <w:sz w:val="22"/>
          <w:szCs w:val="22"/>
        </w:rPr>
      </w:pPr>
      <w:hyperlink r:id="rId12" w:history="1">
        <w:r w:rsidR="00F3789F" w:rsidRPr="00D4603E">
          <w:rPr>
            <w:rStyle w:val="Hyperlink"/>
            <w:i/>
            <w:sz w:val="22"/>
            <w:szCs w:val="22"/>
          </w:rPr>
          <w:t>http://www.mtech.edu/student_life/counseling/</w:t>
        </w:r>
      </w:hyperlink>
    </w:p>
    <w:p w:rsidR="00F3789F" w:rsidRPr="00C53600" w:rsidRDefault="00F3789F" w:rsidP="001B4D6A">
      <w:pPr>
        <w:pStyle w:val="ListParagraph"/>
        <w:numPr>
          <w:ilvl w:val="0"/>
          <w:numId w:val="22"/>
        </w:numPr>
        <w:spacing w:after="200"/>
        <w:contextualSpacing/>
        <w:rPr>
          <w:b/>
          <w:sz w:val="22"/>
          <w:szCs w:val="22"/>
        </w:rPr>
      </w:pPr>
      <w:r w:rsidRPr="00C53600">
        <w:rPr>
          <w:b/>
          <w:sz w:val="22"/>
          <w:szCs w:val="22"/>
        </w:rPr>
        <w:t>International Students</w:t>
      </w:r>
    </w:p>
    <w:p w:rsidR="007E57A0" w:rsidRPr="00BF185A" w:rsidRDefault="007E57A0" w:rsidP="001B4D6A">
      <w:pPr>
        <w:pStyle w:val="ListParagraph"/>
        <w:spacing w:after="200"/>
        <w:ind w:left="360"/>
        <w:contextualSpacing/>
        <w:rPr>
          <w:sz w:val="22"/>
          <w:szCs w:val="22"/>
        </w:rPr>
      </w:pPr>
      <w:r w:rsidRPr="00BF185A">
        <w:rPr>
          <w:sz w:val="22"/>
          <w:szCs w:val="22"/>
        </w:rPr>
        <w:t>The international student advisor works with foreign students to maintain proper immigration status and provides support throughout their academic experience at Montana Tech</w:t>
      </w:r>
      <w:r>
        <w:rPr>
          <w:sz w:val="22"/>
          <w:szCs w:val="22"/>
        </w:rPr>
        <w:t>.</w:t>
      </w:r>
      <w:r w:rsidRPr="00BF185A">
        <w:rPr>
          <w:sz w:val="22"/>
          <w:szCs w:val="22"/>
        </w:rPr>
        <w:t xml:space="preserve"> </w:t>
      </w:r>
      <w:hyperlink r:id="rId13" w:history="1">
        <w:r w:rsidRPr="00D4603E">
          <w:rPr>
            <w:rStyle w:val="Hyperlink"/>
            <w:i/>
            <w:sz w:val="22"/>
            <w:szCs w:val="22"/>
          </w:rPr>
          <w:t>http://www.mtech.edu/student_life/international/</w:t>
        </w:r>
      </w:hyperlink>
      <w:r w:rsidRPr="00BF185A">
        <w:rPr>
          <w:sz w:val="22"/>
          <w:szCs w:val="22"/>
        </w:rPr>
        <w:t xml:space="preserve">  </w:t>
      </w:r>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Student Union/Activities</w:t>
      </w:r>
    </w:p>
    <w:p w:rsidR="007E57A0" w:rsidRDefault="007341B7" w:rsidP="001B4D6A">
      <w:pPr>
        <w:pStyle w:val="ListParagraph"/>
        <w:spacing w:after="200"/>
        <w:ind w:left="360"/>
        <w:contextualSpacing/>
        <w:rPr>
          <w:sz w:val="22"/>
          <w:szCs w:val="22"/>
        </w:rPr>
      </w:pPr>
      <w:r>
        <w:rPr>
          <w:sz w:val="22"/>
          <w:szCs w:val="22"/>
        </w:rPr>
        <w:t>The S</w:t>
      </w:r>
      <w:r w:rsidR="008C2598">
        <w:rPr>
          <w:sz w:val="22"/>
          <w:szCs w:val="22"/>
        </w:rPr>
        <w:t xml:space="preserve">tudent Union, </w:t>
      </w:r>
      <w:r w:rsidR="008C2598" w:rsidRPr="003E03FE">
        <w:rPr>
          <w:sz w:val="22"/>
          <w:szCs w:val="22"/>
        </w:rPr>
        <w:t xml:space="preserve">the hub for campus information </w:t>
      </w:r>
      <w:r w:rsidR="008C2598" w:rsidRPr="00BF185A">
        <w:rPr>
          <w:sz w:val="22"/>
          <w:szCs w:val="22"/>
        </w:rPr>
        <w:t>and activities</w:t>
      </w:r>
      <w:r w:rsidR="00CE68E1">
        <w:rPr>
          <w:sz w:val="22"/>
          <w:szCs w:val="22"/>
        </w:rPr>
        <w:t>,</w:t>
      </w:r>
      <w:r w:rsidR="008C2598" w:rsidRPr="003E03FE">
        <w:rPr>
          <w:sz w:val="22"/>
          <w:szCs w:val="22"/>
        </w:rPr>
        <w:t xml:space="preserve"> </w:t>
      </w:r>
      <w:r w:rsidR="008C2598">
        <w:rPr>
          <w:sz w:val="22"/>
          <w:szCs w:val="22"/>
        </w:rPr>
        <w:t>is s</w:t>
      </w:r>
      <w:r w:rsidR="007E57A0" w:rsidRPr="003E03FE">
        <w:rPr>
          <w:sz w:val="22"/>
          <w:szCs w:val="22"/>
        </w:rPr>
        <w:t xml:space="preserve">taffed by the Director of the Student Union/Activities, </w:t>
      </w:r>
      <w:r w:rsidR="008C2598">
        <w:rPr>
          <w:sz w:val="22"/>
          <w:szCs w:val="22"/>
        </w:rPr>
        <w:t xml:space="preserve">a </w:t>
      </w:r>
      <w:r w:rsidR="007E57A0" w:rsidRPr="003E03FE">
        <w:rPr>
          <w:sz w:val="22"/>
          <w:szCs w:val="22"/>
        </w:rPr>
        <w:t>Campus Sche</w:t>
      </w:r>
      <w:r w:rsidR="007E57A0">
        <w:rPr>
          <w:sz w:val="22"/>
          <w:szCs w:val="22"/>
        </w:rPr>
        <w:t xml:space="preserve">duling Officer, and support </w:t>
      </w:r>
      <w:r w:rsidR="008C2598">
        <w:rPr>
          <w:sz w:val="22"/>
          <w:szCs w:val="22"/>
        </w:rPr>
        <w:t>personnel</w:t>
      </w:r>
      <w:r w:rsidR="007E57A0" w:rsidRPr="00BF185A">
        <w:rPr>
          <w:sz w:val="22"/>
          <w:szCs w:val="22"/>
        </w:rPr>
        <w:t>.</w:t>
      </w:r>
    </w:p>
    <w:p w:rsidR="007E57A0" w:rsidRPr="00D4603E" w:rsidRDefault="00E21B15" w:rsidP="001B4D6A">
      <w:pPr>
        <w:pStyle w:val="ListParagraph"/>
        <w:spacing w:after="200"/>
        <w:ind w:left="360"/>
        <w:contextualSpacing/>
        <w:rPr>
          <w:i/>
          <w:sz w:val="22"/>
          <w:szCs w:val="22"/>
        </w:rPr>
      </w:pPr>
      <w:hyperlink r:id="rId14" w:history="1">
        <w:r w:rsidR="007E57A0" w:rsidRPr="00D4603E">
          <w:rPr>
            <w:rStyle w:val="Hyperlink"/>
            <w:i/>
            <w:sz w:val="22"/>
            <w:szCs w:val="22"/>
          </w:rPr>
          <w:t>www.mtech.edu/sub</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Residence Life</w:t>
      </w:r>
    </w:p>
    <w:p w:rsidR="00CE68E1" w:rsidRDefault="007E57A0" w:rsidP="001B4D6A">
      <w:pPr>
        <w:pStyle w:val="ListParagraph"/>
        <w:spacing w:after="200"/>
        <w:ind w:left="360"/>
        <w:contextualSpacing/>
        <w:rPr>
          <w:sz w:val="22"/>
          <w:szCs w:val="22"/>
        </w:rPr>
      </w:pPr>
      <w:r>
        <w:rPr>
          <w:sz w:val="22"/>
          <w:szCs w:val="22"/>
        </w:rPr>
        <w:t xml:space="preserve">The Director of Residence Life and support staff </w:t>
      </w:r>
      <w:r w:rsidR="008C2598">
        <w:rPr>
          <w:sz w:val="22"/>
          <w:szCs w:val="22"/>
        </w:rPr>
        <w:t xml:space="preserve">assist </w:t>
      </w:r>
      <w:r w:rsidRPr="00305E62">
        <w:rPr>
          <w:sz w:val="22"/>
          <w:szCs w:val="22"/>
        </w:rPr>
        <w:t>students in all facets of residential living</w:t>
      </w:r>
      <w:r w:rsidR="008C2598">
        <w:rPr>
          <w:sz w:val="22"/>
          <w:szCs w:val="22"/>
        </w:rPr>
        <w:t>.</w:t>
      </w:r>
    </w:p>
    <w:p w:rsidR="007E57A0" w:rsidRPr="00D4603E" w:rsidRDefault="007E57A0" w:rsidP="001B4D6A">
      <w:pPr>
        <w:pStyle w:val="ListParagraph"/>
        <w:spacing w:after="200"/>
        <w:ind w:left="360"/>
        <w:contextualSpacing/>
        <w:rPr>
          <w:i/>
          <w:sz w:val="22"/>
          <w:szCs w:val="22"/>
        </w:rPr>
      </w:pPr>
      <w:r w:rsidRPr="00D4603E">
        <w:rPr>
          <w:i/>
          <w:sz w:val="22"/>
          <w:szCs w:val="22"/>
        </w:rPr>
        <w:t xml:space="preserve"> </w:t>
      </w:r>
      <w:hyperlink r:id="rId15" w:history="1">
        <w:r w:rsidRPr="00D4603E">
          <w:rPr>
            <w:rStyle w:val="Hyperlink"/>
            <w:i/>
            <w:sz w:val="22"/>
            <w:szCs w:val="22"/>
          </w:rPr>
          <w:t>http://www.mtech.edu/residence_life/</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Career Services</w:t>
      </w:r>
    </w:p>
    <w:p w:rsidR="00CE68E1" w:rsidRPr="005C7336" w:rsidRDefault="007E57A0" w:rsidP="001B4D6A">
      <w:pPr>
        <w:pStyle w:val="ListParagraph"/>
        <w:spacing w:after="200"/>
        <w:ind w:left="360"/>
        <w:contextualSpacing/>
      </w:pPr>
      <w:r w:rsidRPr="001A6CDA">
        <w:rPr>
          <w:sz w:val="22"/>
          <w:szCs w:val="22"/>
        </w:rPr>
        <w:t>The Care</w:t>
      </w:r>
      <w:r w:rsidR="001152FC">
        <w:rPr>
          <w:sz w:val="22"/>
          <w:szCs w:val="22"/>
        </w:rPr>
        <w:t>er Services Director and</w:t>
      </w:r>
      <w:r w:rsidRPr="001A6CDA">
        <w:rPr>
          <w:sz w:val="22"/>
          <w:szCs w:val="22"/>
        </w:rPr>
        <w:t xml:space="preserve"> staff assist</w:t>
      </w:r>
      <w:r w:rsidR="001152FC">
        <w:rPr>
          <w:sz w:val="22"/>
          <w:szCs w:val="22"/>
        </w:rPr>
        <w:t xml:space="preserve"> </w:t>
      </w:r>
      <w:r w:rsidR="001152FC" w:rsidRPr="005C7336">
        <w:rPr>
          <w:sz w:val="22"/>
          <w:szCs w:val="22"/>
        </w:rPr>
        <w:t>students and alumni</w:t>
      </w:r>
      <w:r w:rsidRPr="005C7336">
        <w:rPr>
          <w:sz w:val="22"/>
          <w:szCs w:val="22"/>
        </w:rPr>
        <w:t xml:space="preserve"> with career </w:t>
      </w:r>
      <w:r w:rsidR="001152FC" w:rsidRPr="005C7336">
        <w:rPr>
          <w:sz w:val="22"/>
          <w:szCs w:val="22"/>
        </w:rPr>
        <w:t xml:space="preserve">exploration and </w:t>
      </w:r>
      <w:r w:rsidRPr="005C7336">
        <w:rPr>
          <w:sz w:val="22"/>
          <w:szCs w:val="22"/>
        </w:rPr>
        <w:t>preparation</w:t>
      </w:r>
      <w:r w:rsidR="001152FC" w:rsidRPr="005C7336">
        <w:rPr>
          <w:sz w:val="22"/>
          <w:szCs w:val="22"/>
        </w:rPr>
        <w:t>, as well as assist employers with connecting to students and the campus</w:t>
      </w:r>
      <w:r w:rsidRPr="005C7336">
        <w:rPr>
          <w:sz w:val="22"/>
          <w:szCs w:val="22"/>
        </w:rPr>
        <w:t>.</w:t>
      </w:r>
      <w:r w:rsidRPr="005C7336">
        <w:t xml:space="preserve"> </w:t>
      </w:r>
    </w:p>
    <w:p w:rsidR="007E57A0" w:rsidRDefault="00E21B15" w:rsidP="001B4D6A">
      <w:pPr>
        <w:pStyle w:val="ListParagraph"/>
        <w:spacing w:after="200"/>
        <w:ind w:left="360"/>
        <w:contextualSpacing/>
      </w:pPr>
      <w:hyperlink r:id="rId16" w:history="1">
        <w:r w:rsidR="007E57A0" w:rsidRPr="00D4603E">
          <w:rPr>
            <w:rStyle w:val="Hyperlink"/>
            <w:i/>
            <w:sz w:val="22"/>
            <w:szCs w:val="22"/>
          </w:rPr>
          <w:t>http://www.mtech.edu/career/</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Public Relations &amp; Webmaster</w:t>
      </w:r>
    </w:p>
    <w:p w:rsidR="007E57A0" w:rsidRPr="00BF185A" w:rsidRDefault="007E57A0" w:rsidP="001B4D6A">
      <w:pPr>
        <w:pStyle w:val="ListParagraph"/>
        <w:spacing w:after="200"/>
        <w:ind w:left="360"/>
        <w:contextualSpacing/>
        <w:rPr>
          <w:sz w:val="22"/>
          <w:szCs w:val="22"/>
        </w:rPr>
      </w:pPr>
      <w:r w:rsidRPr="00BF185A">
        <w:rPr>
          <w:sz w:val="22"/>
          <w:szCs w:val="22"/>
        </w:rPr>
        <w:t xml:space="preserve">The Public Relations Director </w:t>
      </w:r>
      <w:r>
        <w:rPr>
          <w:sz w:val="22"/>
          <w:szCs w:val="22"/>
        </w:rPr>
        <w:t>is responsible for publications, press releases, multimedia</w:t>
      </w:r>
      <w:r w:rsidR="00CE68E1">
        <w:rPr>
          <w:sz w:val="22"/>
          <w:szCs w:val="22"/>
        </w:rPr>
        <w:t>, website</w:t>
      </w:r>
      <w:r w:rsidR="008F7AD1">
        <w:rPr>
          <w:sz w:val="22"/>
          <w:szCs w:val="22"/>
        </w:rPr>
        <w:t>,</w:t>
      </w:r>
      <w:r>
        <w:rPr>
          <w:sz w:val="22"/>
          <w:szCs w:val="22"/>
        </w:rPr>
        <w:t xml:space="preserve"> and advertising policies.  The Webmaster is under the </w:t>
      </w:r>
      <w:r w:rsidRPr="00B855D1">
        <w:rPr>
          <w:sz w:val="22"/>
          <w:szCs w:val="22"/>
        </w:rPr>
        <w:t>umbrella</w:t>
      </w:r>
      <w:r>
        <w:rPr>
          <w:sz w:val="22"/>
          <w:szCs w:val="22"/>
        </w:rPr>
        <w:t xml:space="preserve"> of public relations.</w:t>
      </w:r>
      <w:r w:rsidRPr="00B855D1">
        <w:t xml:space="preserve"> </w:t>
      </w:r>
      <w:hyperlink r:id="rId17" w:history="1">
        <w:r w:rsidRPr="00D4603E">
          <w:rPr>
            <w:rStyle w:val="Hyperlink"/>
            <w:i/>
            <w:sz w:val="22"/>
            <w:szCs w:val="22"/>
          </w:rPr>
          <w:t>http://www.mtech.edu/pr/</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Alumni</w:t>
      </w:r>
      <w:r w:rsidR="00C11C15">
        <w:rPr>
          <w:b/>
          <w:sz w:val="22"/>
          <w:szCs w:val="22"/>
        </w:rPr>
        <w:t xml:space="preserve"> Affairs</w:t>
      </w:r>
    </w:p>
    <w:p w:rsidR="00FC27FB" w:rsidRDefault="00FC27FB" w:rsidP="001B4D6A">
      <w:pPr>
        <w:pStyle w:val="ListParagraph"/>
        <w:spacing w:after="200"/>
        <w:ind w:left="360"/>
        <w:contextualSpacing/>
      </w:pPr>
      <w:r>
        <w:rPr>
          <w:sz w:val="22"/>
          <w:szCs w:val="22"/>
        </w:rPr>
        <w:t>The Director of</w:t>
      </w:r>
      <w:r w:rsidR="007E57A0" w:rsidRPr="001A6CDA">
        <w:rPr>
          <w:sz w:val="22"/>
          <w:szCs w:val="22"/>
        </w:rPr>
        <w:t xml:space="preserve"> Alumni </w:t>
      </w:r>
      <w:r w:rsidR="007E57A0">
        <w:rPr>
          <w:sz w:val="22"/>
          <w:szCs w:val="22"/>
        </w:rPr>
        <w:t xml:space="preserve">Affairs </w:t>
      </w:r>
      <w:r w:rsidR="008F7AD1">
        <w:rPr>
          <w:sz w:val="22"/>
          <w:szCs w:val="22"/>
        </w:rPr>
        <w:t>and</w:t>
      </w:r>
      <w:r>
        <w:rPr>
          <w:sz w:val="22"/>
          <w:szCs w:val="22"/>
        </w:rPr>
        <w:t xml:space="preserve"> support staff maintain</w:t>
      </w:r>
      <w:r w:rsidR="007E57A0" w:rsidRPr="001A6CDA">
        <w:rPr>
          <w:sz w:val="22"/>
          <w:szCs w:val="22"/>
        </w:rPr>
        <w:t xml:space="preserve"> the bridge between alumni and the </w:t>
      </w:r>
      <w:r w:rsidR="007E57A0" w:rsidRPr="00B855D1">
        <w:rPr>
          <w:sz w:val="22"/>
          <w:szCs w:val="22"/>
        </w:rPr>
        <w:t>college.</w:t>
      </w:r>
      <w:r w:rsidR="007E57A0" w:rsidRPr="00B855D1">
        <w:t xml:space="preserve"> </w:t>
      </w:r>
    </w:p>
    <w:p w:rsidR="007E57A0" w:rsidRPr="00D4603E" w:rsidRDefault="00E21B15" w:rsidP="001B4D6A">
      <w:pPr>
        <w:pStyle w:val="ListParagraph"/>
        <w:spacing w:after="200"/>
        <w:ind w:left="360"/>
        <w:contextualSpacing/>
        <w:rPr>
          <w:i/>
        </w:rPr>
      </w:pPr>
      <w:hyperlink r:id="rId18" w:history="1">
        <w:r w:rsidR="007E57A0" w:rsidRPr="00D4603E">
          <w:rPr>
            <w:rStyle w:val="Hyperlink"/>
            <w:i/>
            <w:sz w:val="22"/>
            <w:szCs w:val="22"/>
          </w:rPr>
          <w:t>http://go.mtech.edu/Page.aspx?pid=395</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lastRenderedPageBreak/>
        <w:t>Student Health Services</w:t>
      </w:r>
    </w:p>
    <w:p w:rsidR="00FC27FB" w:rsidRDefault="007E57A0" w:rsidP="001B4D6A">
      <w:pPr>
        <w:pStyle w:val="ListParagraph"/>
        <w:spacing w:after="200"/>
        <w:ind w:left="360"/>
        <w:contextualSpacing/>
      </w:pPr>
      <w:r>
        <w:rPr>
          <w:sz w:val="22"/>
          <w:szCs w:val="22"/>
        </w:rPr>
        <w:t xml:space="preserve">The Health Center is staffed by a physician two hours a day and </w:t>
      </w:r>
      <w:r w:rsidR="008F7AD1">
        <w:rPr>
          <w:sz w:val="22"/>
          <w:szCs w:val="22"/>
        </w:rPr>
        <w:t xml:space="preserve">a </w:t>
      </w:r>
      <w:r>
        <w:rPr>
          <w:sz w:val="22"/>
          <w:szCs w:val="22"/>
        </w:rPr>
        <w:t>nurse four hours a day, Monday through Friday.</w:t>
      </w:r>
      <w:r w:rsidRPr="00B855D1">
        <w:t xml:space="preserve"> </w:t>
      </w:r>
    </w:p>
    <w:p w:rsidR="007E57A0" w:rsidRPr="00D4603E" w:rsidRDefault="00E21B15" w:rsidP="001B4D6A">
      <w:pPr>
        <w:pStyle w:val="ListParagraph"/>
        <w:spacing w:after="200"/>
        <w:ind w:left="360"/>
        <w:contextualSpacing/>
        <w:rPr>
          <w:i/>
        </w:rPr>
      </w:pPr>
      <w:hyperlink r:id="rId19" w:history="1">
        <w:r w:rsidR="007E57A0" w:rsidRPr="00D4603E">
          <w:rPr>
            <w:rStyle w:val="Hyperlink"/>
            <w:i/>
            <w:sz w:val="22"/>
            <w:szCs w:val="22"/>
          </w:rPr>
          <w:t>http://www.mtech.edu/student_life/healthcenter.htm</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Dining Services</w:t>
      </w:r>
    </w:p>
    <w:p w:rsidR="007E57A0" w:rsidRDefault="007E57A0" w:rsidP="001B4D6A">
      <w:pPr>
        <w:pStyle w:val="ListParagraph"/>
        <w:spacing w:after="200"/>
        <w:ind w:left="360"/>
        <w:contextualSpacing/>
      </w:pPr>
      <w:r>
        <w:rPr>
          <w:sz w:val="22"/>
          <w:szCs w:val="22"/>
        </w:rPr>
        <w:t>The Director of Dining Services</w:t>
      </w:r>
      <w:r w:rsidR="007341B7">
        <w:rPr>
          <w:sz w:val="22"/>
          <w:szCs w:val="22"/>
        </w:rPr>
        <w:t>,</w:t>
      </w:r>
      <w:r>
        <w:rPr>
          <w:sz w:val="22"/>
          <w:szCs w:val="22"/>
        </w:rPr>
        <w:t xml:space="preserve"> management</w:t>
      </w:r>
      <w:r w:rsidR="007341B7">
        <w:rPr>
          <w:sz w:val="22"/>
          <w:szCs w:val="22"/>
        </w:rPr>
        <w:t>,</w:t>
      </w:r>
      <w:r>
        <w:rPr>
          <w:sz w:val="22"/>
          <w:szCs w:val="22"/>
        </w:rPr>
        <w:t xml:space="preserve"> and support staff are dedicated to </w:t>
      </w:r>
      <w:r w:rsidR="008F7AD1">
        <w:rPr>
          <w:sz w:val="22"/>
          <w:szCs w:val="22"/>
        </w:rPr>
        <w:t>providing a variety of nutritious</w:t>
      </w:r>
      <w:r>
        <w:rPr>
          <w:sz w:val="22"/>
          <w:szCs w:val="22"/>
        </w:rPr>
        <w:t>, well-balanced meals at reasonable prices.</w:t>
      </w:r>
      <w:r w:rsidRPr="00B855D1">
        <w:t xml:space="preserve"> </w:t>
      </w:r>
      <w:hyperlink r:id="rId20" w:history="1">
        <w:r w:rsidRPr="00D4603E">
          <w:rPr>
            <w:rStyle w:val="Hyperlink"/>
            <w:i/>
            <w:sz w:val="22"/>
            <w:szCs w:val="22"/>
          </w:rPr>
          <w:t>http://www.mtech.edu/dining_services/</w:t>
        </w:r>
      </w:hyperlink>
    </w:p>
    <w:p w:rsidR="007E57A0" w:rsidRDefault="007E57A0" w:rsidP="001B4D6A">
      <w:pPr>
        <w:rPr>
          <w:rFonts w:ascii="Arial" w:hAnsi="Arial" w:cs="Arial"/>
          <w:b/>
          <w:bCs/>
          <w:sz w:val="22"/>
          <w:szCs w:val="22"/>
        </w:rPr>
      </w:pPr>
      <w:r w:rsidRPr="0089684E">
        <w:rPr>
          <w:rFonts w:ascii="Arial" w:hAnsi="Arial" w:cs="Arial"/>
          <w:b/>
          <w:bCs/>
          <w:sz w:val="22"/>
          <w:szCs w:val="22"/>
        </w:rPr>
        <w:t>3</w:t>
      </w:r>
      <w:r>
        <w:rPr>
          <w:rFonts w:ascii="Arial" w:hAnsi="Arial" w:cs="Arial"/>
          <w:b/>
          <w:bCs/>
          <w:sz w:val="22"/>
          <w:szCs w:val="22"/>
        </w:rPr>
        <w:t>.A.2</w:t>
      </w:r>
      <w:r>
        <w:rPr>
          <w:rFonts w:ascii="Arial" w:hAnsi="Arial" w:cs="Arial"/>
          <w:b/>
          <w:bCs/>
          <w:sz w:val="22"/>
          <w:szCs w:val="22"/>
        </w:rPr>
        <w:tab/>
      </w:r>
      <w:r w:rsidRPr="0089684E">
        <w:rPr>
          <w:rFonts w:ascii="Arial" w:hAnsi="Arial" w:cs="Arial"/>
          <w:b/>
          <w:bCs/>
          <w:sz w:val="22"/>
          <w:szCs w:val="22"/>
        </w:rPr>
        <w:t>Student services and programs are staffed by qualified individuals whose academic preparation and/or experience are appropriate to their assignments. Assignments are clearly defined and published. The performance of personnel is regularly evaluated.</w:t>
      </w:r>
    </w:p>
    <w:p w:rsidR="007E57A0" w:rsidRPr="0089684E" w:rsidRDefault="007E57A0" w:rsidP="001B4D6A">
      <w:pPr>
        <w:rPr>
          <w:rFonts w:ascii="Arial" w:hAnsi="Arial" w:cs="Arial"/>
          <w:b/>
          <w:bCs/>
          <w:sz w:val="22"/>
          <w:szCs w:val="22"/>
        </w:rPr>
      </w:pPr>
    </w:p>
    <w:p w:rsidR="007E57A0" w:rsidRPr="003454BD" w:rsidRDefault="007E57A0" w:rsidP="001B4D6A">
      <w:pPr>
        <w:spacing w:after="200"/>
        <w:contextualSpacing/>
        <w:rPr>
          <w:rFonts w:ascii="Arial" w:hAnsi="Arial" w:cs="Arial"/>
          <w:color w:val="000000" w:themeColor="text1"/>
          <w:sz w:val="22"/>
          <w:szCs w:val="22"/>
        </w:rPr>
      </w:pPr>
      <w:r w:rsidRPr="003454BD">
        <w:rPr>
          <w:rFonts w:ascii="Arial" w:hAnsi="Arial" w:cs="Arial"/>
          <w:color w:val="000000" w:themeColor="text1"/>
          <w:sz w:val="22"/>
          <w:szCs w:val="22"/>
        </w:rPr>
        <w:t xml:space="preserve">The </w:t>
      </w:r>
      <w:r w:rsidR="00FC27FB">
        <w:rPr>
          <w:rFonts w:ascii="Arial" w:hAnsi="Arial" w:cs="Arial"/>
          <w:color w:val="000000" w:themeColor="text1"/>
          <w:sz w:val="22"/>
          <w:szCs w:val="22"/>
        </w:rPr>
        <w:t xml:space="preserve">student services </w:t>
      </w:r>
      <w:r w:rsidR="00FC27FB" w:rsidRPr="00D4603E">
        <w:rPr>
          <w:rFonts w:ascii="Arial" w:hAnsi="Arial" w:cs="Arial"/>
          <w:sz w:val="22"/>
          <w:szCs w:val="22"/>
        </w:rPr>
        <w:t xml:space="preserve">staff </w:t>
      </w:r>
      <w:r w:rsidR="007016B3" w:rsidRPr="00D4603E">
        <w:rPr>
          <w:rFonts w:ascii="Arial" w:hAnsi="Arial" w:cs="Arial"/>
          <w:sz w:val="22"/>
          <w:szCs w:val="22"/>
        </w:rPr>
        <w:t>is made up of</w:t>
      </w:r>
      <w:r w:rsidR="00730A49" w:rsidRPr="00D4603E">
        <w:rPr>
          <w:rFonts w:ascii="Arial" w:hAnsi="Arial" w:cs="Arial"/>
          <w:sz w:val="22"/>
          <w:szCs w:val="22"/>
        </w:rPr>
        <w:t xml:space="preserve"> highly</w:t>
      </w:r>
      <w:r w:rsidR="00730A49" w:rsidRPr="003454BD">
        <w:rPr>
          <w:rFonts w:ascii="Arial" w:hAnsi="Arial" w:cs="Arial"/>
          <w:color w:val="000000" w:themeColor="text1"/>
          <w:sz w:val="22"/>
          <w:szCs w:val="22"/>
        </w:rPr>
        <w:t xml:space="preserve"> </w:t>
      </w:r>
      <w:r w:rsidRPr="003454BD">
        <w:rPr>
          <w:rFonts w:ascii="Arial" w:hAnsi="Arial" w:cs="Arial"/>
          <w:color w:val="000000" w:themeColor="text1"/>
          <w:sz w:val="22"/>
          <w:szCs w:val="22"/>
        </w:rPr>
        <w:t xml:space="preserve">qualified and </w:t>
      </w:r>
      <w:r w:rsidR="00730A49" w:rsidRPr="003454BD">
        <w:rPr>
          <w:rFonts w:ascii="Arial" w:hAnsi="Arial" w:cs="Arial"/>
          <w:color w:val="000000" w:themeColor="text1"/>
          <w:sz w:val="22"/>
          <w:szCs w:val="22"/>
        </w:rPr>
        <w:t xml:space="preserve">talented </w:t>
      </w:r>
      <w:r w:rsidR="008F7AD1">
        <w:rPr>
          <w:rFonts w:ascii="Arial" w:hAnsi="Arial" w:cs="Arial"/>
          <w:color w:val="000000" w:themeColor="text1"/>
          <w:sz w:val="22"/>
          <w:szCs w:val="22"/>
        </w:rPr>
        <w:t>professionals</w:t>
      </w:r>
      <w:r w:rsidR="00730A49" w:rsidRPr="003454BD">
        <w:rPr>
          <w:rFonts w:ascii="Arial" w:hAnsi="Arial" w:cs="Arial"/>
          <w:color w:val="000000" w:themeColor="text1"/>
          <w:sz w:val="22"/>
          <w:szCs w:val="22"/>
        </w:rPr>
        <w:t xml:space="preserve"> who provide a </w:t>
      </w:r>
      <w:r w:rsidR="00730A49" w:rsidRPr="0040667B">
        <w:rPr>
          <w:rFonts w:ascii="Arial" w:hAnsi="Arial" w:cs="Arial"/>
          <w:color w:val="000000" w:themeColor="text1"/>
          <w:sz w:val="22"/>
          <w:szCs w:val="22"/>
        </w:rPr>
        <w:t>variety of services</w:t>
      </w:r>
      <w:r w:rsidRPr="0040667B">
        <w:rPr>
          <w:rFonts w:ascii="Arial" w:hAnsi="Arial" w:cs="Arial"/>
          <w:color w:val="000000" w:themeColor="text1"/>
          <w:sz w:val="22"/>
          <w:szCs w:val="22"/>
        </w:rPr>
        <w:t xml:space="preserve">. </w:t>
      </w:r>
      <w:r w:rsidR="00821088" w:rsidRPr="0040667B">
        <w:rPr>
          <w:rFonts w:ascii="Arial" w:hAnsi="Arial" w:cs="Arial"/>
          <w:color w:val="000000" w:themeColor="text1"/>
          <w:sz w:val="22"/>
          <w:szCs w:val="22"/>
        </w:rPr>
        <w:t>(</w:t>
      </w:r>
      <w:r w:rsidR="008F7AD1" w:rsidRPr="0040667B">
        <w:rPr>
          <w:rFonts w:ascii="Arial" w:hAnsi="Arial" w:cs="Arial"/>
          <w:color w:val="000000" w:themeColor="text1"/>
          <w:sz w:val="22"/>
          <w:szCs w:val="22"/>
        </w:rPr>
        <w:t>See TABLE</w:t>
      </w:r>
      <w:r w:rsidR="00821088" w:rsidRPr="0040667B">
        <w:rPr>
          <w:rFonts w:ascii="Arial" w:hAnsi="Arial" w:cs="Arial"/>
          <w:color w:val="000000" w:themeColor="text1"/>
          <w:sz w:val="22"/>
          <w:szCs w:val="22"/>
        </w:rPr>
        <w:t xml:space="preserve"> 3.A.I</w:t>
      </w:r>
      <w:r w:rsidR="0040667B" w:rsidRPr="0040667B">
        <w:rPr>
          <w:rFonts w:ascii="Arial" w:hAnsi="Arial" w:cs="Arial"/>
          <w:color w:val="000000" w:themeColor="text1"/>
          <w:sz w:val="22"/>
          <w:szCs w:val="22"/>
        </w:rPr>
        <w:t>: Staff Profile</w:t>
      </w:r>
      <w:r w:rsidR="00B833F2" w:rsidRPr="0040667B">
        <w:rPr>
          <w:rFonts w:ascii="Arial" w:hAnsi="Arial" w:cs="Arial"/>
          <w:color w:val="000000" w:themeColor="text1"/>
          <w:sz w:val="22"/>
          <w:szCs w:val="22"/>
        </w:rPr>
        <w:t xml:space="preserve"> and </w:t>
      </w:r>
      <w:r w:rsidR="008F7AD1" w:rsidRPr="0040667B">
        <w:rPr>
          <w:rFonts w:ascii="Arial" w:hAnsi="Arial" w:cs="Arial"/>
          <w:color w:val="000000" w:themeColor="text1"/>
          <w:sz w:val="22"/>
          <w:szCs w:val="22"/>
        </w:rPr>
        <w:t>Exhibit 3.A.</w:t>
      </w:r>
      <w:r w:rsidR="0040667B">
        <w:rPr>
          <w:rFonts w:ascii="Arial" w:hAnsi="Arial" w:cs="Arial"/>
          <w:color w:val="000000" w:themeColor="text1"/>
          <w:sz w:val="22"/>
          <w:szCs w:val="22"/>
        </w:rPr>
        <w:t>I</w:t>
      </w:r>
      <w:r w:rsidR="008F7AD1" w:rsidRPr="0040667B">
        <w:rPr>
          <w:rFonts w:ascii="Arial" w:hAnsi="Arial" w:cs="Arial"/>
          <w:color w:val="000000" w:themeColor="text1"/>
          <w:sz w:val="22"/>
          <w:szCs w:val="22"/>
        </w:rPr>
        <w:t>I</w:t>
      </w:r>
      <w:r w:rsidR="00D4603E" w:rsidRPr="0040667B">
        <w:rPr>
          <w:rFonts w:ascii="Arial" w:hAnsi="Arial" w:cs="Arial"/>
          <w:color w:val="000000" w:themeColor="text1"/>
          <w:sz w:val="22"/>
          <w:szCs w:val="22"/>
        </w:rPr>
        <w:t>:</w:t>
      </w:r>
      <w:r w:rsidR="007016B3" w:rsidRPr="0040667B">
        <w:rPr>
          <w:rFonts w:ascii="Arial" w:hAnsi="Arial" w:cs="Arial"/>
          <w:color w:val="000000" w:themeColor="text1"/>
          <w:sz w:val="22"/>
          <w:szCs w:val="22"/>
        </w:rPr>
        <w:t xml:space="preserve"> </w:t>
      </w:r>
      <w:r w:rsidR="007016B3" w:rsidRPr="0040667B">
        <w:rPr>
          <w:rFonts w:ascii="Arial" w:hAnsi="Arial" w:cs="Arial"/>
          <w:i/>
          <w:sz w:val="22"/>
          <w:szCs w:val="22"/>
          <w:u w:val="single"/>
        </w:rPr>
        <w:t>Student Services</w:t>
      </w:r>
      <w:r w:rsidRPr="0040667B">
        <w:rPr>
          <w:rFonts w:ascii="Arial" w:hAnsi="Arial" w:cs="Arial"/>
          <w:i/>
          <w:sz w:val="22"/>
          <w:szCs w:val="22"/>
          <w:u w:val="single"/>
        </w:rPr>
        <w:t xml:space="preserve"> Resumes</w:t>
      </w:r>
      <w:r w:rsidR="0040667B" w:rsidRPr="0040667B">
        <w:rPr>
          <w:rFonts w:ascii="Arial" w:hAnsi="Arial" w:cs="Arial"/>
          <w:i/>
          <w:sz w:val="22"/>
          <w:szCs w:val="22"/>
          <w:u w:val="single"/>
        </w:rPr>
        <w:t>.</w:t>
      </w:r>
      <w:r w:rsidRPr="0040667B">
        <w:rPr>
          <w:rFonts w:ascii="Arial" w:hAnsi="Arial" w:cs="Arial"/>
          <w:color w:val="000000" w:themeColor="text1"/>
          <w:sz w:val="22"/>
          <w:szCs w:val="22"/>
        </w:rPr>
        <w:t>)</w:t>
      </w:r>
      <w:r w:rsidR="00730A49" w:rsidRPr="0040667B">
        <w:rPr>
          <w:rFonts w:ascii="Arial" w:hAnsi="Arial" w:cs="Arial"/>
          <w:color w:val="000000" w:themeColor="text1"/>
          <w:sz w:val="22"/>
          <w:szCs w:val="22"/>
        </w:rPr>
        <w:t xml:space="preserve"> Position</w:t>
      </w:r>
      <w:r w:rsidR="00730A49" w:rsidRPr="003454BD">
        <w:rPr>
          <w:rFonts w:ascii="Arial" w:hAnsi="Arial" w:cs="Arial"/>
          <w:color w:val="000000" w:themeColor="text1"/>
          <w:sz w:val="22"/>
          <w:szCs w:val="22"/>
        </w:rPr>
        <w:t xml:space="preserve"> </w:t>
      </w:r>
      <w:r w:rsidRPr="003454BD">
        <w:rPr>
          <w:rFonts w:ascii="Arial" w:hAnsi="Arial" w:cs="Arial"/>
          <w:color w:val="000000" w:themeColor="text1"/>
          <w:sz w:val="22"/>
          <w:szCs w:val="22"/>
        </w:rPr>
        <w:t xml:space="preserve">descriptions </w:t>
      </w:r>
      <w:r w:rsidR="00730A49" w:rsidRPr="003454BD">
        <w:rPr>
          <w:rFonts w:ascii="Arial" w:hAnsi="Arial" w:cs="Arial"/>
          <w:color w:val="000000" w:themeColor="text1"/>
          <w:sz w:val="22"/>
          <w:szCs w:val="22"/>
        </w:rPr>
        <w:t>are clearly defined and follow University Human Resource policies and procedures.</w:t>
      </w:r>
      <w:r w:rsidRPr="003454BD">
        <w:rPr>
          <w:rFonts w:ascii="Arial" w:hAnsi="Arial" w:cs="Arial"/>
          <w:color w:val="000000" w:themeColor="text1"/>
          <w:sz w:val="22"/>
          <w:szCs w:val="22"/>
        </w:rPr>
        <w:t xml:space="preserve">  Evaluations of personnel occur annually. </w:t>
      </w:r>
    </w:p>
    <w:p w:rsidR="00730A49" w:rsidRPr="003454BD" w:rsidRDefault="00730A49" w:rsidP="001B4D6A">
      <w:pPr>
        <w:spacing w:after="200"/>
        <w:contextualSpacing/>
        <w:rPr>
          <w:color w:val="000000" w:themeColor="text1"/>
          <w:sz w:val="22"/>
          <w:szCs w:val="22"/>
          <w:highlight w:val="lightGray"/>
        </w:rPr>
      </w:pPr>
    </w:p>
    <w:p w:rsidR="00730A49" w:rsidRDefault="00FC27FB" w:rsidP="001B4D6A">
      <w:pPr>
        <w:spacing w:after="200"/>
        <w:contextualSpacing/>
        <w:rPr>
          <w:rFonts w:ascii="Arial" w:hAnsi="Arial" w:cs="Arial"/>
          <w:sz w:val="22"/>
          <w:szCs w:val="22"/>
        </w:rPr>
      </w:pPr>
      <w:r>
        <w:rPr>
          <w:rFonts w:ascii="Arial" w:hAnsi="Arial" w:cs="Arial"/>
          <w:color w:val="000000" w:themeColor="text1"/>
          <w:sz w:val="22"/>
          <w:szCs w:val="22"/>
        </w:rPr>
        <w:t>Table 3.A.I Student Services s</w:t>
      </w:r>
      <w:r w:rsidR="00730A49" w:rsidRPr="003454BD">
        <w:rPr>
          <w:rFonts w:ascii="Arial" w:hAnsi="Arial" w:cs="Arial"/>
          <w:color w:val="000000" w:themeColor="text1"/>
          <w:sz w:val="22"/>
          <w:szCs w:val="22"/>
        </w:rPr>
        <w:t xml:space="preserve">taff profiles demonstrate the academic and/or work experience that prepared </w:t>
      </w:r>
      <w:r w:rsidR="007016B3">
        <w:rPr>
          <w:rFonts w:ascii="Arial" w:hAnsi="Arial" w:cs="Arial"/>
          <w:color w:val="000000" w:themeColor="text1"/>
          <w:sz w:val="22"/>
          <w:szCs w:val="22"/>
        </w:rPr>
        <w:t xml:space="preserve">the </w:t>
      </w:r>
      <w:r w:rsidR="00730A49" w:rsidRPr="003454BD">
        <w:rPr>
          <w:rFonts w:ascii="Arial" w:hAnsi="Arial" w:cs="Arial"/>
          <w:color w:val="000000" w:themeColor="text1"/>
          <w:sz w:val="22"/>
          <w:szCs w:val="22"/>
        </w:rPr>
        <w:t>professional staff for their assignment</w:t>
      </w:r>
      <w:r w:rsidR="00730A49" w:rsidRPr="0003479C">
        <w:rPr>
          <w:rFonts w:ascii="Arial" w:hAnsi="Arial" w:cs="Arial"/>
          <w:sz w:val="22"/>
          <w:szCs w:val="22"/>
        </w:rPr>
        <w:t>s.</w:t>
      </w: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C11C15" w:rsidRDefault="00C11C15" w:rsidP="001B4D6A">
      <w:pPr>
        <w:spacing w:after="200"/>
        <w:contextualSpacing/>
        <w:rPr>
          <w:rFonts w:ascii="Arial" w:hAnsi="Arial" w:cs="Arial"/>
          <w:sz w:val="22"/>
          <w:szCs w:val="22"/>
        </w:rPr>
      </w:pPr>
    </w:p>
    <w:p w:rsidR="00C11C15" w:rsidRDefault="00C11C15" w:rsidP="001B4D6A">
      <w:pPr>
        <w:spacing w:after="200"/>
        <w:contextualSpacing/>
        <w:rPr>
          <w:rFonts w:ascii="Arial" w:hAnsi="Arial" w:cs="Arial"/>
          <w:sz w:val="22"/>
          <w:szCs w:val="22"/>
        </w:rPr>
      </w:pPr>
    </w:p>
    <w:p w:rsidR="00C11C15" w:rsidRDefault="00C11C15"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Pr="00730A49" w:rsidRDefault="0003479C" w:rsidP="001B4D6A">
      <w:pPr>
        <w:spacing w:after="200"/>
        <w:contextualSpacing/>
        <w:rPr>
          <w:rFonts w:ascii="Arial" w:hAnsi="Arial" w:cs="Arial"/>
          <w:color w:val="0070C0"/>
          <w:sz w:val="22"/>
          <w:szCs w:val="22"/>
        </w:rPr>
        <w:sectPr w:rsidR="0003479C" w:rsidRPr="00730A49" w:rsidSect="00B3315C">
          <w:footerReference w:type="default" r:id="rId21"/>
          <w:pgSz w:w="12240" w:h="15840"/>
          <w:pgMar w:top="1440" w:right="1440" w:bottom="1440" w:left="1440" w:header="720" w:footer="720" w:gutter="0"/>
          <w:cols w:space="720"/>
          <w:docGrid w:linePitch="360"/>
        </w:sectPr>
      </w:pPr>
    </w:p>
    <w:p w:rsidR="007E57A0" w:rsidRPr="00575E50" w:rsidRDefault="00B833F2" w:rsidP="001B4D6A">
      <w:pPr>
        <w:jc w:val="center"/>
        <w:rPr>
          <w:rFonts w:ascii="Arial" w:hAnsi="Arial" w:cs="Arial"/>
          <w:b/>
          <w:i/>
          <w:sz w:val="18"/>
          <w:szCs w:val="18"/>
        </w:rPr>
      </w:pPr>
      <w:r>
        <w:rPr>
          <w:rFonts w:ascii="Arial" w:hAnsi="Arial" w:cs="Arial"/>
          <w:b/>
          <w:sz w:val="22"/>
          <w:szCs w:val="22"/>
        </w:rPr>
        <w:lastRenderedPageBreak/>
        <w:t>TABLE</w:t>
      </w:r>
      <w:r w:rsidR="007E57A0">
        <w:rPr>
          <w:rFonts w:ascii="Arial" w:hAnsi="Arial" w:cs="Arial"/>
          <w:b/>
          <w:sz w:val="22"/>
          <w:szCs w:val="22"/>
        </w:rPr>
        <w:t xml:space="preserve"> 3.</w:t>
      </w:r>
      <w:r w:rsidR="007E57A0" w:rsidRPr="00E45D8E">
        <w:rPr>
          <w:rFonts w:ascii="Arial" w:hAnsi="Arial" w:cs="Arial"/>
          <w:b/>
          <w:sz w:val="22"/>
          <w:szCs w:val="22"/>
        </w:rPr>
        <w:t>A</w:t>
      </w:r>
      <w:r w:rsidR="00821088" w:rsidRPr="00E45D8E">
        <w:rPr>
          <w:rFonts w:ascii="Arial" w:hAnsi="Arial" w:cs="Arial"/>
          <w:b/>
          <w:sz w:val="22"/>
          <w:szCs w:val="22"/>
        </w:rPr>
        <w:t>.</w:t>
      </w:r>
      <w:r w:rsidR="00821088">
        <w:rPr>
          <w:rFonts w:ascii="Arial" w:hAnsi="Arial" w:cs="Arial"/>
          <w:b/>
          <w:sz w:val="22"/>
          <w:szCs w:val="22"/>
        </w:rPr>
        <w:t>I</w:t>
      </w:r>
      <w:r w:rsidR="00D4603E">
        <w:rPr>
          <w:rFonts w:ascii="Arial" w:hAnsi="Arial" w:cs="Arial"/>
          <w:b/>
          <w:sz w:val="22"/>
          <w:szCs w:val="22"/>
        </w:rPr>
        <w:t>: STUDENT SERVICES STAFF PROFILE</w:t>
      </w:r>
      <w:r w:rsidR="007E57A0">
        <w:rPr>
          <w:rFonts w:ascii="Arial" w:hAnsi="Arial" w:cs="Arial"/>
          <w:b/>
          <w:sz w:val="22"/>
          <w:szCs w:val="22"/>
        </w:rPr>
        <w:t xml:space="preserve"> </w:t>
      </w:r>
    </w:p>
    <w:tbl>
      <w:tblPr>
        <w:tblStyle w:val="TableGrid"/>
        <w:tblW w:w="9558" w:type="dxa"/>
        <w:tblLayout w:type="fixed"/>
        <w:tblLook w:val="04A0"/>
      </w:tblPr>
      <w:tblGrid>
        <w:gridCol w:w="3553"/>
        <w:gridCol w:w="1415"/>
        <w:gridCol w:w="1040"/>
        <w:gridCol w:w="1120"/>
        <w:gridCol w:w="2430"/>
      </w:tblGrid>
      <w:tr w:rsidR="00D902F1" w:rsidTr="003065C2">
        <w:tc>
          <w:tcPr>
            <w:tcW w:w="9558"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D902F1" w:rsidRDefault="00D902F1" w:rsidP="001B4D6A">
            <w:pPr>
              <w:spacing w:before="240"/>
              <w:jc w:val="center"/>
              <w:rPr>
                <w:b/>
              </w:rPr>
            </w:pPr>
            <w:r>
              <w:rPr>
                <w:b/>
              </w:rPr>
              <w:t xml:space="preserve">     STUDENT AFFAIRS STAFF PROFILE</w:t>
            </w:r>
          </w:p>
          <w:p w:rsidR="00D902F1" w:rsidRPr="009D2EF3" w:rsidRDefault="00D902F1" w:rsidP="001B4D6A">
            <w:pPr>
              <w:jc w:val="center"/>
              <w:rPr>
                <w:sz w:val="20"/>
                <w:szCs w:val="20"/>
              </w:rPr>
            </w:pPr>
            <w:r w:rsidRPr="009D2EF3">
              <w:rPr>
                <w:sz w:val="20"/>
                <w:szCs w:val="20"/>
              </w:rPr>
              <w:t>(Data requested may be provided in computer format compatible to the institution’s data information system.)</w:t>
            </w:r>
          </w:p>
          <w:p w:rsidR="00D902F1" w:rsidRPr="00487595" w:rsidRDefault="00D902F1" w:rsidP="001B4D6A">
            <w:pPr>
              <w:jc w:val="center"/>
            </w:pPr>
          </w:p>
        </w:tc>
      </w:tr>
      <w:tr w:rsidR="00D902F1" w:rsidTr="003065C2">
        <w:tc>
          <w:tcPr>
            <w:tcW w:w="3553" w:type="dxa"/>
            <w:tcBorders>
              <w:top w:val="single" w:sz="12" w:space="0" w:color="000000" w:themeColor="text1"/>
              <w:left w:val="single" w:sz="12" w:space="0" w:color="000000" w:themeColor="text1"/>
              <w:bottom w:val="single" w:sz="12" w:space="0" w:color="000000" w:themeColor="text1"/>
            </w:tcBorders>
          </w:tcPr>
          <w:p w:rsidR="00D902F1" w:rsidRDefault="00D902F1" w:rsidP="001B4D6A"/>
          <w:p w:rsidR="00D902F1" w:rsidRDefault="00D902F1" w:rsidP="001B4D6A"/>
          <w:p w:rsidR="00D902F1" w:rsidRDefault="00D902F1" w:rsidP="001B4D6A"/>
        </w:tc>
        <w:tc>
          <w:tcPr>
            <w:tcW w:w="1415" w:type="dxa"/>
            <w:tcBorders>
              <w:top w:val="single" w:sz="12" w:space="0" w:color="000000" w:themeColor="text1"/>
              <w:bottom w:val="single" w:sz="12" w:space="0" w:color="000000" w:themeColor="text1"/>
            </w:tcBorders>
          </w:tcPr>
          <w:p w:rsidR="00D902F1" w:rsidRDefault="00D902F1" w:rsidP="001B4D6A"/>
          <w:p w:rsidR="00D902F1" w:rsidRDefault="00D902F1" w:rsidP="001B4D6A">
            <w:pPr>
              <w:jc w:val="center"/>
            </w:pPr>
            <w:r>
              <w:t>Professional</w:t>
            </w:r>
          </w:p>
        </w:tc>
        <w:tc>
          <w:tcPr>
            <w:tcW w:w="1040" w:type="dxa"/>
            <w:tcBorders>
              <w:top w:val="single" w:sz="12" w:space="0" w:color="000000" w:themeColor="text1"/>
              <w:bottom w:val="single" w:sz="12" w:space="0" w:color="000000" w:themeColor="text1"/>
            </w:tcBorders>
          </w:tcPr>
          <w:p w:rsidR="00D902F1" w:rsidRDefault="00D902F1" w:rsidP="001B4D6A"/>
          <w:p w:rsidR="00D902F1" w:rsidRDefault="00D902F1" w:rsidP="001B4D6A">
            <w:pPr>
              <w:jc w:val="center"/>
            </w:pPr>
            <w:r>
              <w:t>Support</w:t>
            </w:r>
          </w:p>
        </w:tc>
        <w:tc>
          <w:tcPr>
            <w:tcW w:w="1120" w:type="dxa"/>
            <w:tcBorders>
              <w:top w:val="single" w:sz="12" w:space="0" w:color="000000" w:themeColor="text1"/>
              <w:bottom w:val="single" w:sz="12" w:space="0" w:color="000000" w:themeColor="text1"/>
            </w:tcBorders>
          </w:tcPr>
          <w:p w:rsidR="00D902F1" w:rsidRDefault="00D902F1" w:rsidP="001B4D6A"/>
          <w:p w:rsidR="00D902F1" w:rsidRDefault="00D902F1" w:rsidP="001B4D6A">
            <w:pPr>
              <w:jc w:val="center"/>
            </w:pPr>
            <w:r>
              <w:t>Student</w:t>
            </w:r>
          </w:p>
        </w:tc>
        <w:tc>
          <w:tcPr>
            <w:tcW w:w="2430" w:type="dxa"/>
            <w:tcBorders>
              <w:top w:val="single" w:sz="12" w:space="0" w:color="000000" w:themeColor="text1"/>
              <w:bottom w:val="single" w:sz="12" w:space="0" w:color="000000" w:themeColor="text1"/>
              <w:right w:val="single" w:sz="12" w:space="0" w:color="000000" w:themeColor="text1"/>
            </w:tcBorders>
          </w:tcPr>
          <w:p w:rsidR="00D902F1" w:rsidRDefault="00D902F1" w:rsidP="001B4D6A"/>
          <w:p w:rsidR="00D902F1" w:rsidRDefault="00D902F1" w:rsidP="001B4D6A">
            <w:pPr>
              <w:jc w:val="center"/>
            </w:pPr>
            <w:r>
              <w:t>Other</w:t>
            </w:r>
          </w:p>
        </w:tc>
      </w:tr>
      <w:tr w:rsidR="00D902F1" w:rsidTr="003065C2">
        <w:trPr>
          <w:trHeight w:val="432"/>
        </w:trPr>
        <w:tc>
          <w:tcPr>
            <w:tcW w:w="3553" w:type="dxa"/>
            <w:tcBorders>
              <w:top w:val="single" w:sz="12" w:space="0" w:color="000000" w:themeColor="text1"/>
              <w:left w:val="single" w:sz="12" w:space="0" w:color="000000" w:themeColor="text1"/>
              <w:bottom w:val="single" w:sz="2" w:space="0" w:color="000000" w:themeColor="text1"/>
            </w:tcBorders>
            <w:vAlign w:val="center"/>
          </w:tcPr>
          <w:p w:rsidR="00D902F1" w:rsidRDefault="00D902F1" w:rsidP="001B4D6A">
            <w:r>
              <w:t>Female</w:t>
            </w:r>
          </w:p>
        </w:tc>
        <w:tc>
          <w:tcPr>
            <w:tcW w:w="1415" w:type="dxa"/>
            <w:tcBorders>
              <w:top w:val="single" w:sz="12" w:space="0" w:color="000000" w:themeColor="text1"/>
              <w:bottom w:val="single" w:sz="2" w:space="0" w:color="000000" w:themeColor="text1"/>
            </w:tcBorders>
          </w:tcPr>
          <w:p w:rsidR="00D902F1" w:rsidRDefault="00D902F1" w:rsidP="001B4D6A">
            <w:pPr>
              <w:jc w:val="center"/>
            </w:pPr>
            <w:r>
              <w:t>11</w:t>
            </w:r>
          </w:p>
        </w:tc>
        <w:tc>
          <w:tcPr>
            <w:tcW w:w="1040" w:type="dxa"/>
            <w:tcBorders>
              <w:top w:val="single" w:sz="12" w:space="0" w:color="000000" w:themeColor="text1"/>
              <w:bottom w:val="single" w:sz="2" w:space="0" w:color="000000" w:themeColor="text1"/>
            </w:tcBorders>
          </w:tcPr>
          <w:p w:rsidR="00D902F1" w:rsidRDefault="00D902F1" w:rsidP="001B4D6A">
            <w:pPr>
              <w:jc w:val="center"/>
            </w:pPr>
            <w:r>
              <w:t>37</w:t>
            </w:r>
          </w:p>
        </w:tc>
        <w:tc>
          <w:tcPr>
            <w:tcW w:w="1120" w:type="dxa"/>
            <w:tcBorders>
              <w:top w:val="single" w:sz="12" w:space="0" w:color="000000" w:themeColor="text1"/>
              <w:bottom w:val="single" w:sz="2" w:space="0" w:color="000000" w:themeColor="text1"/>
            </w:tcBorders>
          </w:tcPr>
          <w:p w:rsidR="00D902F1" w:rsidRDefault="00D902F1" w:rsidP="001B4D6A">
            <w:pPr>
              <w:jc w:val="center"/>
            </w:pPr>
            <w:r>
              <w:t>16</w:t>
            </w:r>
          </w:p>
        </w:tc>
        <w:tc>
          <w:tcPr>
            <w:tcW w:w="2430" w:type="dxa"/>
            <w:tcBorders>
              <w:top w:val="single" w:sz="12" w:space="0" w:color="000000" w:themeColor="text1"/>
              <w:bottom w:val="single" w:sz="2" w:space="0" w:color="000000" w:themeColor="text1"/>
              <w:right w:val="single" w:sz="12" w:space="0" w:color="000000" w:themeColor="text1"/>
            </w:tcBorders>
          </w:tcPr>
          <w:p w:rsidR="00D902F1" w:rsidRDefault="00D902F1" w:rsidP="001B4D6A"/>
        </w:tc>
      </w:tr>
      <w:tr w:rsidR="00D902F1" w:rsidTr="003065C2">
        <w:trPr>
          <w:trHeight w:val="432"/>
        </w:trPr>
        <w:tc>
          <w:tcPr>
            <w:tcW w:w="3553" w:type="dxa"/>
            <w:tcBorders>
              <w:top w:val="single" w:sz="2" w:space="0" w:color="000000" w:themeColor="text1"/>
              <w:left w:val="single" w:sz="12" w:space="0" w:color="000000" w:themeColor="text1"/>
              <w:bottom w:val="single" w:sz="12" w:space="0" w:color="000000" w:themeColor="text1"/>
            </w:tcBorders>
            <w:vAlign w:val="center"/>
          </w:tcPr>
          <w:p w:rsidR="00D902F1" w:rsidRDefault="00D902F1" w:rsidP="001B4D6A">
            <w:r>
              <w:t xml:space="preserve">Male </w:t>
            </w:r>
          </w:p>
        </w:tc>
        <w:tc>
          <w:tcPr>
            <w:tcW w:w="1415" w:type="dxa"/>
            <w:tcBorders>
              <w:top w:val="single" w:sz="2" w:space="0" w:color="000000" w:themeColor="text1"/>
              <w:bottom w:val="single" w:sz="12" w:space="0" w:color="000000" w:themeColor="text1"/>
            </w:tcBorders>
          </w:tcPr>
          <w:p w:rsidR="00D902F1" w:rsidRDefault="00D902F1" w:rsidP="001B4D6A">
            <w:pPr>
              <w:jc w:val="center"/>
            </w:pPr>
            <w:r>
              <w:t>08</w:t>
            </w:r>
          </w:p>
        </w:tc>
        <w:tc>
          <w:tcPr>
            <w:tcW w:w="1040" w:type="dxa"/>
            <w:tcBorders>
              <w:top w:val="single" w:sz="2" w:space="0" w:color="000000" w:themeColor="text1"/>
              <w:bottom w:val="single" w:sz="12" w:space="0" w:color="000000" w:themeColor="text1"/>
            </w:tcBorders>
          </w:tcPr>
          <w:p w:rsidR="00D902F1" w:rsidRDefault="00D902F1" w:rsidP="001B4D6A">
            <w:pPr>
              <w:jc w:val="center"/>
            </w:pPr>
            <w:r>
              <w:t>10</w:t>
            </w:r>
          </w:p>
        </w:tc>
        <w:tc>
          <w:tcPr>
            <w:tcW w:w="1120" w:type="dxa"/>
            <w:tcBorders>
              <w:top w:val="single" w:sz="2" w:space="0" w:color="000000" w:themeColor="text1"/>
              <w:bottom w:val="single" w:sz="12" w:space="0" w:color="000000" w:themeColor="text1"/>
            </w:tcBorders>
          </w:tcPr>
          <w:p w:rsidR="00D902F1" w:rsidRDefault="00D902F1" w:rsidP="001B4D6A">
            <w:pPr>
              <w:jc w:val="center"/>
            </w:pPr>
            <w:r>
              <w:t>29</w:t>
            </w:r>
          </w:p>
        </w:tc>
        <w:tc>
          <w:tcPr>
            <w:tcW w:w="2430" w:type="dxa"/>
            <w:tcBorders>
              <w:top w:val="single" w:sz="2" w:space="0" w:color="000000" w:themeColor="text1"/>
              <w:bottom w:val="single" w:sz="12" w:space="0" w:color="000000" w:themeColor="text1"/>
              <w:right w:val="single" w:sz="12" w:space="0" w:color="000000" w:themeColor="text1"/>
            </w:tcBorders>
          </w:tcPr>
          <w:p w:rsidR="00D902F1" w:rsidRDefault="00D902F1" w:rsidP="001B4D6A"/>
        </w:tc>
      </w:tr>
      <w:tr w:rsidR="00D902F1" w:rsidTr="003065C2">
        <w:trPr>
          <w:trHeight w:val="432"/>
        </w:trPr>
        <w:tc>
          <w:tcPr>
            <w:tcW w:w="3553" w:type="dxa"/>
            <w:tcBorders>
              <w:top w:val="single" w:sz="12" w:space="0" w:color="000000" w:themeColor="text1"/>
              <w:left w:val="single" w:sz="12" w:space="0" w:color="000000" w:themeColor="text1"/>
            </w:tcBorders>
            <w:vAlign w:val="center"/>
          </w:tcPr>
          <w:p w:rsidR="00D902F1" w:rsidRDefault="00D902F1" w:rsidP="001B4D6A">
            <w:r>
              <w:t>Degree:      PhD, EdD</w:t>
            </w:r>
          </w:p>
        </w:tc>
        <w:tc>
          <w:tcPr>
            <w:tcW w:w="1415" w:type="dxa"/>
            <w:tcBorders>
              <w:top w:val="single" w:sz="12" w:space="0" w:color="000000" w:themeColor="text1"/>
            </w:tcBorders>
          </w:tcPr>
          <w:p w:rsidR="00D902F1" w:rsidRDefault="00D902F1" w:rsidP="001B4D6A">
            <w:pPr>
              <w:jc w:val="center"/>
            </w:pPr>
          </w:p>
        </w:tc>
        <w:tc>
          <w:tcPr>
            <w:tcW w:w="1040" w:type="dxa"/>
            <w:tcBorders>
              <w:top w:val="single" w:sz="12" w:space="0" w:color="000000" w:themeColor="text1"/>
            </w:tcBorders>
          </w:tcPr>
          <w:p w:rsidR="00D902F1" w:rsidRDefault="00D902F1" w:rsidP="001B4D6A">
            <w:pPr>
              <w:jc w:val="center"/>
            </w:pPr>
          </w:p>
        </w:tc>
        <w:tc>
          <w:tcPr>
            <w:tcW w:w="1120" w:type="dxa"/>
            <w:tcBorders>
              <w:top w:val="single" w:sz="12" w:space="0" w:color="000000" w:themeColor="text1"/>
            </w:tcBorders>
          </w:tcPr>
          <w:p w:rsidR="00D902F1" w:rsidRDefault="00D902F1" w:rsidP="001B4D6A">
            <w:pPr>
              <w:jc w:val="center"/>
            </w:pPr>
          </w:p>
        </w:tc>
        <w:tc>
          <w:tcPr>
            <w:tcW w:w="2430" w:type="dxa"/>
            <w:tcBorders>
              <w:top w:val="single" w:sz="12" w:space="0" w:color="000000" w:themeColor="text1"/>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MD, JD, MSW</w:t>
            </w:r>
          </w:p>
        </w:tc>
        <w:tc>
          <w:tcPr>
            <w:tcW w:w="1415" w:type="dxa"/>
          </w:tcPr>
          <w:p w:rsidR="00D902F1" w:rsidRDefault="00D902F1" w:rsidP="001B4D6A">
            <w:pPr>
              <w:jc w:val="center"/>
            </w:pPr>
            <w:r>
              <w:t>03</w:t>
            </w:r>
          </w:p>
        </w:tc>
        <w:tc>
          <w:tcPr>
            <w:tcW w:w="1040" w:type="dxa"/>
          </w:tcPr>
          <w:p w:rsidR="00D902F1" w:rsidRDefault="00D902F1" w:rsidP="001B4D6A">
            <w:pPr>
              <w:jc w:val="center"/>
            </w:pP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MA, MS</w:t>
            </w:r>
          </w:p>
        </w:tc>
        <w:tc>
          <w:tcPr>
            <w:tcW w:w="1415" w:type="dxa"/>
          </w:tcPr>
          <w:p w:rsidR="00D902F1" w:rsidRDefault="00D902F1" w:rsidP="001B4D6A">
            <w:pPr>
              <w:jc w:val="center"/>
            </w:pPr>
            <w:r>
              <w:t>06</w:t>
            </w:r>
          </w:p>
        </w:tc>
        <w:tc>
          <w:tcPr>
            <w:tcW w:w="1040" w:type="dxa"/>
          </w:tcPr>
          <w:p w:rsidR="00D902F1" w:rsidRDefault="00D902F1" w:rsidP="001B4D6A">
            <w:pPr>
              <w:jc w:val="center"/>
            </w:pPr>
            <w:r>
              <w:t>04</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BA,  BS</w:t>
            </w:r>
          </w:p>
        </w:tc>
        <w:tc>
          <w:tcPr>
            <w:tcW w:w="1415" w:type="dxa"/>
          </w:tcPr>
          <w:p w:rsidR="00D902F1" w:rsidRDefault="00D902F1" w:rsidP="001B4D6A">
            <w:pPr>
              <w:jc w:val="center"/>
            </w:pPr>
            <w:r>
              <w:t>09</w:t>
            </w:r>
          </w:p>
        </w:tc>
        <w:tc>
          <w:tcPr>
            <w:tcW w:w="1040" w:type="dxa"/>
          </w:tcPr>
          <w:p w:rsidR="00D902F1" w:rsidRDefault="00D902F1" w:rsidP="001B4D6A">
            <w:pPr>
              <w:jc w:val="center"/>
            </w:pPr>
            <w:r>
              <w:t>06</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bottom w:val="single" w:sz="12" w:space="0" w:color="000000" w:themeColor="text1"/>
            </w:tcBorders>
            <w:vAlign w:val="center"/>
          </w:tcPr>
          <w:p w:rsidR="00D902F1" w:rsidRDefault="00D902F1" w:rsidP="001B4D6A">
            <w:r>
              <w:t xml:space="preserve">                    AA, AAS, Certificate, etc. </w:t>
            </w:r>
          </w:p>
        </w:tc>
        <w:tc>
          <w:tcPr>
            <w:tcW w:w="1415" w:type="dxa"/>
            <w:tcBorders>
              <w:bottom w:val="single" w:sz="12" w:space="0" w:color="000000" w:themeColor="text1"/>
            </w:tcBorders>
          </w:tcPr>
          <w:p w:rsidR="00D902F1" w:rsidRDefault="00D902F1" w:rsidP="001B4D6A">
            <w:pPr>
              <w:jc w:val="center"/>
            </w:pPr>
          </w:p>
        </w:tc>
        <w:tc>
          <w:tcPr>
            <w:tcW w:w="1040" w:type="dxa"/>
            <w:tcBorders>
              <w:bottom w:val="single" w:sz="12" w:space="0" w:color="000000" w:themeColor="text1"/>
            </w:tcBorders>
          </w:tcPr>
          <w:p w:rsidR="00D902F1" w:rsidRDefault="00D902F1" w:rsidP="001B4D6A">
            <w:pPr>
              <w:jc w:val="center"/>
            </w:pPr>
            <w:r>
              <w:t>04</w:t>
            </w:r>
          </w:p>
        </w:tc>
        <w:tc>
          <w:tcPr>
            <w:tcW w:w="1120" w:type="dxa"/>
            <w:tcBorders>
              <w:bottom w:val="single" w:sz="12" w:space="0" w:color="000000" w:themeColor="text1"/>
            </w:tcBorders>
          </w:tcPr>
          <w:p w:rsidR="00D902F1" w:rsidRDefault="00D902F1" w:rsidP="001B4D6A">
            <w:pPr>
              <w:jc w:val="center"/>
            </w:pPr>
          </w:p>
        </w:tc>
        <w:tc>
          <w:tcPr>
            <w:tcW w:w="2430" w:type="dxa"/>
            <w:tcBorders>
              <w:bottom w:val="single" w:sz="12" w:space="0" w:color="000000" w:themeColor="text1"/>
              <w:right w:val="single" w:sz="12" w:space="0" w:color="000000" w:themeColor="text1"/>
            </w:tcBorders>
          </w:tcPr>
          <w:p w:rsidR="00D902F1" w:rsidRDefault="00D902F1" w:rsidP="001B4D6A"/>
        </w:tc>
      </w:tr>
      <w:tr w:rsidR="00D902F1" w:rsidTr="003065C2">
        <w:trPr>
          <w:trHeight w:val="432"/>
        </w:trPr>
        <w:tc>
          <w:tcPr>
            <w:tcW w:w="3553" w:type="dxa"/>
            <w:tcBorders>
              <w:top w:val="single" w:sz="12" w:space="0" w:color="000000" w:themeColor="text1"/>
              <w:left w:val="single" w:sz="12" w:space="0" w:color="000000" w:themeColor="text1"/>
            </w:tcBorders>
            <w:vAlign w:val="center"/>
          </w:tcPr>
          <w:p w:rsidR="00D902F1" w:rsidRDefault="00D902F1" w:rsidP="001B4D6A">
            <w:r>
              <w:t xml:space="preserve">Years </w:t>
            </w:r>
          </w:p>
          <w:p w:rsidR="00D902F1" w:rsidRDefault="00D902F1" w:rsidP="001B4D6A">
            <w:r>
              <w:t>Experience</w:t>
            </w:r>
          </w:p>
          <w:p w:rsidR="00D902F1" w:rsidRDefault="00D902F1" w:rsidP="001B4D6A">
            <w:r>
              <w:t>in field:       none</w:t>
            </w:r>
          </w:p>
        </w:tc>
        <w:tc>
          <w:tcPr>
            <w:tcW w:w="1415" w:type="dxa"/>
            <w:tcBorders>
              <w:top w:val="single" w:sz="12" w:space="0" w:color="000000" w:themeColor="text1"/>
            </w:tcBorders>
          </w:tcPr>
          <w:p w:rsidR="00D902F1" w:rsidRDefault="00D902F1" w:rsidP="001B4D6A">
            <w:pPr>
              <w:jc w:val="center"/>
            </w:pPr>
          </w:p>
        </w:tc>
        <w:tc>
          <w:tcPr>
            <w:tcW w:w="1040" w:type="dxa"/>
            <w:tcBorders>
              <w:top w:val="single" w:sz="12" w:space="0" w:color="000000" w:themeColor="text1"/>
            </w:tcBorders>
          </w:tcPr>
          <w:p w:rsidR="00D902F1" w:rsidRDefault="00D902F1" w:rsidP="001B4D6A">
            <w:pPr>
              <w:jc w:val="center"/>
            </w:pPr>
            <w:r>
              <w:t>01</w:t>
            </w:r>
          </w:p>
        </w:tc>
        <w:tc>
          <w:tcPr>
            <w:tcW w:w="1120" w:type="dxa"/>
            <w:tcBorders>
              <w:top w:val="single" w:sz="12" w:space="0" w:color="000000" w:themeColor="text1"/>
            </w:tcBorders>
          </w:tcPr>
          <w:p w:rsidR="00D902F1" w:rsidRDefault="00D902F1" w:rsidP="001B4D6A">
            <w:pPr>
              <w:jc w:val="center"/>
            </w:pPr>
          </w:p>
        </w:tc>
        <w:tc>
          <w:tcPr>
            <w:tcW w:w="2430" w:type="dxa"/>
            <w:tcBorders>
              <w:top w:val="single" w:sz="12" w:space="0" w:color="000000" w:themeColor="text1"/>
              <w:right w:val="single" w:sz="12" w:space="0" w:color="000000" w:themeColor="text1"/>
            </w:tcBorders>
          </w:tcPr>
          <w:p w:rsidR="00D902F1" w:rsidRDefault="00D902F1" w:rsidP="001B4D6A"/>
          <w:p w:rsidR="00D902F1" w:rsidRDefault="00D902F1" w:rsidP="001B4D6A"/>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less than 5</w:t>
            </w:r>
          </w:p>
        </w:tc>
        <w:tc>
          <w:tcPr>
            <w:tcW w:w="1415" w:type="dxa"/>
          </w:tcPr>
          <w:p w:rsidR="00D902F1" w:rsidRDefault="00D902F1" w:rsidP="001B4D6A">
            <w:pPr>
              <w:jc w:val="center"/>
            </w:pPr>
            <w:r>
              <w:t>02</w:t>
            </w:r>
          </w:p>
        </w:tc>
        <w:tc>
          <w:tcPr>
            <w:tcW w:w="1040" w:type="dxa"/>
          </w:tcPr>
          <w:p w:rsidR="00D902F1" w:rsidRDefault="00D902F1" w:rsidP="001B4D6A">
            <w:pPr>
              <w:jc w:val="center"/>
            </w:pPr>
            <w:r>
              <w:t>07</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5 – 10</w:t>
            </w:r>
          </w:p>
        </w:tc>
        <w:tc>
          <w:tcPr>
            <w:tcW w:w="1415" w:type="dxa"/>
          </w:tcPr>
          <w:p w:rsidR="00D902F1" w:rsidRDefault="00D902F1" w:rsidP="001B4D6A">
            <w:pPr>
              <w:jc w:val="center"/>
            </w:pPr>
            <w:r>
              <w:t>07</w:t>
            </w:r>
          </w:p>
        </w:tc>
        <w:tc>
          <w:tcPr>
            <w:tcW w:w="1040" w:type="dxa"/>
          </w:tcPr>
          <w:p w:rsidR="00D902F1" w:rsidRDefault="00D902F1" w:rsidP="001B4D6A">
            <w:pPr>
              <w:jc w:val="center"/>
            </w:pPr>
            <w:r>
              <w:t>12</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11 – 15</w:t>
            </w:r>
          </w:p>
        </w:tc>
        <w:tc>
          <w:tcPr>
            <w:tcW w:w="1415" w:type="dxa"/>
          </w:tcPr>
          <w:p w:rsidR="00D902F1" w:rsidRDefault="00D902F1" w:rsidP="001B4D6A">
            <w:pPr>
              <w:jc w:val="center"/>
            </w:pPr>
            <w:r>
              <w:t>05</w:t>
            </w:r>
          </w:p>
        </w:tc>
        <w:tc>
          <w:tcPr>
            <w:tcW w:w="1040" w:type="dxa"/>
          </w:tcPr>
          <w:p w:rsidR="00D902F1" w:rsidRDefault="00D902F1" w:rsidP="001B4D6A">
            <w:pPr>
              <w:jc w:val="center"/>
            </w:pPr>
            <w:r>
              <w:t>14</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16 – 20</w:t>
            </w:r>
          </w:p>
        </w:tc>
        <w:tc>
          <w:tcPr>
            <w:tcW w:w="1415" w:type="dxa"/>
          </w:tcPr>
          <w:p w:rsidR="00D902F1" w:rsidRDefault="00D902F1" w:rsidP="001B4D6A">
            <w:pPr>
              <w:jc w:val="center"/>
            </w:pPr>
            <w:r>
              <w:t>03</w:t>
            </w:r>
          </w:p>
        </w:tc>
        <w:tc>
          <w:tcPr>
            <w:tcW w:w="1040" w:type="dxa"/>
          </w:tcPr>
          <w:p w:rsidR="00D902F1" w:rsidRDefault="00D902F1" w:rsidP="001B4D6A">
            <w:pPr>
              <w:jc w:val="center"/>
            </w:pPr>
            <w:r>
              <w:t>06</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more than 20</w:t>
            </w:r>
          </w:p>
        </w:tc>
        <w:tc>
          <w:tcPr>
            <w:tcW w:w="1415" w:type="dxa"/>
          </w:tcPr>
          <w:p w:rsidR="00D902F1" w:rsidRDefault="00D902F1" w:rsidP="001B4D6A">
            <w:pPr>
              <w:jc w:val="center"/>
            </w:pPr>
            <w:r>
              <w:t>02</w:t>
            </w:r>
          </w:p>
        </w:tc>
        <w:tc>
          <w:tcPr>
            <w:tcW w:w="1040" w:type="dxa"/>
          </w:tcPr>
          <w:p w:rsidR="00D902F1" w:rsidRDefault="00D902F1" w:rsidP="001B4D6A">
            <w:pPr>
              <w:jc w:val="center"/>
            </w:pPr>
            <w:r>
              <w:t>07</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Full-time:    9/10 months</w:t>
            </w:r>
          </w:p>
        </w:tc>
        <w:tc>
          <w:tcPr>
            <w:tcW w:w="1415" w:type="dxa"/>
          </w:tcPr>
          <w:p w:rsidR="00D902F1" w:rsidRDefault="00D902F1" w:rsidP="001B4D6A">
            <w:pPr>
              <w:jc w:val="center"/>
            </w:pPr>
          </w:p>
        </w:tc>
        <w:tc>
          <w:tcPr>
            <w:tcW w:w="1040" w:type="dxa"/>
          </w:tcPr>
          <w:p w:rsidR="00D902F1" w:rsidRDefault="00D902F1" w:rsidP="001B4D6A">
            <w:pPr>
              <w:jc w:val="center"/>
            </w:pP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12 months</w:t>
            </w:r>
          </w:p>
        </w:tc>
        <w:tc>
          <w:tcPr>
            <w:tcW w:w="1415" w:type="dxa"/>
          </w:tcPr>
          <w:p w:rsidR="00D902F1" w:rsidRDefault="00D902F1" w:rsidP="001B4D6A">
            <w:pPr>
              <w:jc w:val="center"/>
            </w:pPr>
            <w:r>
              <w:t>19</w:t>
            </w:r>
          </w:p>
        </w:tc>
        <w:tc>
          <w:tcPr>
            <w:tcW w:w="1040" w:type="dxa"/>
          </w:tcPr>
          <w:p w:rsidR="00D902F1" w:rsidRDefault="00D902F1" w:rsidP="001B4D6A">
            <w:pPr>
              <w:jc w:val="center"/>
            </w:pPr>
            <w:r>
              <w:t>33</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Part-time:   9/10 months</w:t>
            </w:r>
          </w:p>
        </w:tc>
        <w:tc>
          <w:tcPr>
            <w:tcW w:w="1415" w:type="dxa"/>
          </w:tcPr>
          <w:p w:rsidR="00D902F1" w:rsidRDefault="00D902F1" w:rsidP="001B4D6A">
            <w:pPr>
              <w:jc w:val="center"/>
            </w:pPr>
          </w:p>
        </w:tc>
        <w:tc>
          <w:tcPr>
            <w:tcW w:w="1040" w:type="dxa"/>
          </w:tcPr>
          <w:p w:rsidR="00D902F1" w:rsidRDefault="00D902F1" w:rsidP="001B4D6A">
            <w:pPr>
              <w:jc w:val="center"/>
            </w:pPr>
            <w:r>
              <w:t>14</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bottom w:val="single" w:sz="12" w:space="0" w:color="000000" w:themeColor="text1"/>
            </w:tcBorders>
            <w:vAlign w:val="center"/>
          </w:tcPr>
          <w:p w:rsidR="00D902F1" w:rsidRDefault="00D902F1" w:rsidP="001B4D6A">
            <w:r>
              <w:t xml:space="preserve">                     12 months </w:t>
            </w:r>
          </w:p>
        </w:tc>
        <w:tc>
          <w:tcPr>
            <w:tcW w:w="1415" w:type="dxa"/>
            <w:tcBorders>
              <w:bottom w:val="single" w:sz="12" w:space="0" w:color="000000" w:themeColor="text1"/>
            </w:tcBorders>
          </w:tcPr>
          <w:p w:rsidR="00D902F1" w:rsidRDefault="00D902F1" w:rsidP="001B4D6A">
            <w:pPr>
              <w:jc w:val="center"/>
            </w:pPr>
          </w:p>
        </w:tc>
        <w:tc>
          <w:tcPr>
            <w:tcW w:w="1040" w:type="dxa"/>
            <w:tcBorders>
              <w:bottom w:val="single" w:sz="12" w:space="0" w:color="000000" w:themeColor="text1"/>
            </w:tcBorders>
          </w:tcPr>
          <w:p w:rsidR="00D902F1" w:rsidRDefault="00D902F1" w:rsidP="001B4D6A">
            <w:pPr>
              <w:jc w:val="center"/>
            </w:pPr>
          </w:p>
        </w:tc>
        <w:tc>
          <w:tcPr>
            <w:tcW w:w="1120" w:type="dxa"/>
            <w:tcBorders>
              <w:bottom w:val="single" w:sz="12" w:space="0" w:color="000000" w:themeColor="text1"/>
            </w:tcBorders>
          </w:tcPr>
          <w:p w:rsidR="00D902F1" w:rsidRDefault="00D902F1" w:rsidP="001B4D6A">
            <w:pPr>
              <w:jc w:val="center"/>
            </w:pPr>
          </w:p>
        </w:tc>
        <w:tc>
          <w:tcPr>
            <w:tcW w:w="2430" w:type="dxa"/>
            <w:tcBorders>
              <w:bottom w:val="single" w:sz="12" w:space="0" w:color="000000" w:themeColor="text1"/>
              <w:right w:val="single" w:sz="12" w:space="0" w:color="000000" w:themeColor="text1"/>
            </w:tcBorders>
          </w:tcPr>
          <w:p w:rsidR="00D902F1" w:rsidRDefault="00D902F1" w:rsidP="001B4D6A"/>
        </w:tc>
      </w:tr>
    </w:tbl>
    <w:p w:rsidR="0003479C" w:rsidRDefault="0003479C" w:rsidP="001B4D6A">
      <w:pPr>
        <w:rPr>
          <w:rFonts w:ascii="Arial" w:eastAsiaTheme="minorHAnsi" w:hAnsi="Arial" w:cs="Arial"/>
          <w:sz w:val="22"/>
          <w:szCs w:val="22"/>
          <w:lang w:eastAsia="en-US"/>
        </w:rPr>
      </w:pPr>
    </w:p>
    <w:p w:rsidR="007E57A0" w:rsidRPr="0089684E" w:rsidRDefault="007E57A0" w:rsidP="001B4D6A">
      <w:pPr>
        <w:rPr>
          <w:rFonts w:ascii="Arial" w:hAnsi="Arial" w:cs="Arial"/>
          <w:b/>
          <w:sz w:val="22"/>
          <w:szCs w:val="22"/>
        </w:rPr>
      </w:pPr>
      <w:r>
        <w:rPr>
          <w:rFonts w:ascii="Arial" w:hAnsi="Arial" w:cs="Arial"/>
          <w:b/>
          <w:sz w:val="22"/>
          <w:szCs w:val="22"/>
        </w:rPr>
        <w:t>3.A.3</w:t>
      </w:r>
      <w:r>
        <w:rPr>
          <w:rFonts w:ascii="Arial" w:hAnsi="Arial" w:cs="Arial"/>
          <w:b/>
          <w:sz w:val="22"/>
          <w:szCs w:val="22"/>
        </w:rPr>
        <w:tab/>
      </w:r>
      <w:r w:rsidRPr="0089684E">
        <w:rPr>
          <w:rFonts w:ascii="Arial" w:hAnsi="Arial" w:cs="Arial"/>
          <w:b/>
          <w:sz w:val="22"/>
          <w:szCs w:val="22"/>
        </w:rPr>
        <w:t xml:space="preserve">Appropriate policies and </w:t>
      </w:r>
      <w:r w:rsidRPr="00487855">
        <w:rPr>
          <w:rFonts w:ascii="Arial" w:hAnsi="Arial" w:cs="Arial"/>
          <w:b/>
          <w:sz w:val="22"/>
          <w:szCs w:val="22"/>
        </w:rPr>
        <w:t>procedures for student development programs and services are established.</w:t>
      </w:r>
      <w:r w:rsidRPr="0089684E">
        <w:rPr>
          <w:rFonts w:ascii="Arial" w:hAnsi="Arial" w:cs="Arial"/>
          <w:b/>
          <w:sz w:val="22"/>
          <w:szCs w:val="22"/>
        </w:rPr>
        <w:t xml:space="preserve"> The objectives of each operating component are compatible and support the goals of student services.</w:t>
      </w:r>
    </w:p>
    <w:p w:rsidR="007E57A0" w:rsidRDefault="007E57A0" w:rsidP="001B4D6A">
      <w:pPr>
        <w:rPr>
          <w:rFonts w:ascii="Arial" w:hAnsi="Arial" w:cs="Arial"/>
        </w:rPr>
      </w:pPr>
    </w:p>
    <w:p w:rsidR="007016B3" w:rsidRDefault="007016B3" w:rsidP="001B4D6A">
      <w:pPr>
        <w:rPr>
          <w:rFonts w:ascii="Arial" w:hAnsi="Arial" w:cs="Arial"/>
          <w:sz w:val="22"/>
          <w:szCs w:val="22"/>
        </w:rPr>
      </w:pPr>
      <w:r>
        <w:rPr>
          <w:rFonts w:ascii="Arial" w:hAnsi="Arial" w:cs="Arial"/>
          <w:sz w:val="22"/>
          <w:szCs w:val="22"/>
        </w:rPr>
        <w:t xml:space="preserve">The Student Services </w:t>
      </w:r>
      <w:r w:rsidR="00136DDC">
        <w:rPr>
          <w:rFonts w:ascii="Arial" w:hAnsi="Arial" w:cs="Arial"/>
          <w:sz w:val="22"/>
          <w:szCs w:val="22"/>
        </w:rPr>
        <w:t>Organization</w:t>
      </w:r>
      <w:r w:rsidR="007E57A0" w:rsidRPr="00BC2423">
        <w:rPr>
          <w:rFonts w:ascii="Arial" w:hAnsi="Arial" w:cs="Arial"/>
          <w:sz w:val="22"/>
          <w:szCs w:val="22"/>
        </w:rPr>
        <w:t xml:space="preserve"> adheres to the policies and procedures of Montana Tech, The University of Montana, </w:t>
      </w:r>
      <w:r w:rsidR="00B833F2">
        <w:rPr>
          <w:rFonts w:ascii="Arial" w:hAnsi="Arial" w:cs="Arial"/>
          <w:sz w:val="22"/>
          <w:szCs w:val="22"/>
        </w:rPr>
        <w:t xml:space="preserve">and to </w:t>
      </w:r>
      <w:r w:rsidR="007E57A0" w:rsidRPr="00BC2423">
        <w:rPr>
          <w:rFonts w:ascii="Arial" w:hAnsi="Arial" w:cs="Arial"/>
          <w:sz w:val="22"/>
          <w:szCs w:val="22"/>
        </w:rPr>
        <w:t xml:space="preserve">the Montana Board of Regents and Montana Code Annotated.  Montana Tech’s policies and procedures are further </w:t>
      </w:r>
      <w:r w:rsidR="00684DF1">
        <w:rPr>
          <w:rFonts w:ascii="Arial" w:hAnsi="Arial" w:cs="Arial"/>
          <w:sz w:val="22"/>
          <w:szCs w:val="22"/>
        </w:rPr>
        <w:t>guided by NAIA athletic rules</w:t>
      </w:r>
      <w:r w:rsidR="007E57A0" w:rsidRPr="00BC2423">
        <w:rPr>
          <w:rFonts w:ascii="Arial" w:hAnsi="Arial" w:cs="Arial"/>
          <w:sz w:val="22"/>
          <w:szCs w:val="22"/>
        </w:rPr>
        <w:t>, the American Asso</w:t>
      </w:r>
      <w:r w:rsidR="00FC27FB">
        <w:rPr>
          <w:rFonts w:ascii="Arial" w:hAnsi="Arial" w:cs="Arial"/>
          <w:sz w:val="22"/>
          <w:szCs w:val="22"/>
        </w:rPr>
        <w:t>ciation of Collegiate Registrars and Admissions Officers</w:t>
      </w:r>
      <w:r w:rsidR="00684DF1">
        <w:rPr>
          <w:rFonts w:ascii="Arial" w:hAnsi="Arial" w:cs="Arial"/>
          <w:sz w:val="22"/>
          <w:szCs w:val="22"/>
        </w:rPr>
        <w:t>,</w:t>
      </w:r>
      <w:r w:rsidR="007E57A0" w:rsidRPr="00BC2423">
        <w:rPr>
          <w:rFonts w:ascii="Arial" w:hAnsi="Arial" w:cs="Arial"/>
          <w:sz w:val="22"/>
          <w:szCs w:val="22"/>
        </w:rPr>
        <w:t xml:space="preserve"> </w:t>
      </w:r>
      <w:r w:rsidR="00B833F2">
        <w:rPr>
          <w:rFonts w:ascii="Arial" w:hAnsi="Arial" w:cs="Arial"/>
          <w:sz w:val="22"/>
          <w:szCs w:val="22"/>
        </w:rPr>
        <w:t>and by</w:t>
      </w:r>
      <w:r w:rsidR="007E57A0" w:rsidRPr="00BC2423">
        <w:rPr>
          <w:rFonts w:ascii="Arial" w:hAnsi="Arial" w:cs="Arial"/>
          <w:sz w:val="22"/>
          <w:szCs w:val="22"/>
        </w:rPr>
        <w:t xml:space="preserve"> other professional organ</w:t>
      </w:r>
      <w:r w:rsidR="00136DDC">
        <w:rPr>
          <w:rFonts w:ascii="Arial" w:hAnsi="Arial" w:cs="Arial"/>
          <w:sz w:val="22"/>
          <w:szCs w:val="22"/>
        </w:rPr>
        <w:t xml:space="preserve">izations. These policies </w:t>
      </w:r>
      <w:r w:rsidR="007E57A0" w:rsidRPr="00BC2423">
        <w:rPr>
          <w:rFonts w:ascii="Arial" w:hAnsi="Arial" w:cs="Arial"/>
          <w:sz w:val="22"/>
          <w:szCs w:val="22"/>
        </w:rPr>
        <w:t xml:space="preserve">are published in the Academic </w:t>
      </w:r>
      <w:r w:rsidR="007E57A0" w:rsidRPr="00BE28A5">
        <w:rPr>
          <w:rFonts w:ascii="Arial" w:hAnsi="Arial" w:cs="Arial"/>
          <w:sz w:val="22"/>
          <w:szCs w:val="22"/>
        </w:rPr>
        <w:t>Catalog</w:t>
      </w:r>
      <w:r w:rsidR="007E57A0" w:rsidRPr="00BC2423">
        <w:rPr>
          <w:rFonts w:ascii="Arial" w:hAnsi="Arial" w:cs="Arial"/>
          <w:sz w:val="22"/>
          <w:szCs w:val="22"/>
        </w:rPr>
        <w:t xml:space="preserve"> and </w:t>
      </w:r>
      <w:r w:rsidR="007E57A0" w:rsidRPr="00BE28A5">
        <w:rPr>
          <w:rFonts w:ascii="Arial" w:hAnsi="Arial" w:cs="Arial"/>
          <w:sz w:val="22"/>
          <w:szCs w:val="22"/>
        </w:rPr>
        <w:t>Student Handbook</w:t>
      </w:r>
      <w:r w:rsidR="007E57A0" w:rsidRPr="00BC2423">
        <w:rPr>
          <w:rFonts w:ascii="Arial" w:hAnsi="Arial" w:cs="Arial"/>
          <w:sz w:val="22"/>
          <w:szCs w:val="22"/>
        </w:rPr>
        <w:t xml:space="preserve">. </w:t>
      </w:r>
      <w:r w:rsidR="007E57A0" w:rsidRPr="0040667B">
        <w:rPr>
          <w:rFonts w:ascii="Arial" w:hAnsi="Arial" w:cs="Arial"/>
          <w:sz w:val="22"/>
          <w:szCs w:val="22"/>
        </w:rPr>
        <w:lastRenderedPageBreak/>
        <w:t>(</w:t>
      </w:r>
      <w:r w:rsidR="00B833F2" w:rsidRPr="0040667B">
        <w:rPr>
          <w:rFonts w:ascii="Arial" w:hAnsi="Arial" w:cs="Arial"/>
          <w:sz w:val="22"/>
          <w:szCs w:val="22"/>
        </w:rPr>
        <w:t xml:space="preserve">See </w:t>
      </w:r>
      <w:r w:rsidR="007E57A0" w:rsidRPr="0040667B">
        <w:rPr>
          <w:rFonts w:ascii="Arial" w:hAnsi="Arial" w:cs="Arial"/>
          <w:sz w:val="22"/>
          <w:szCs w:val="22"/>
        </w:rPr>
        <w:t>Exhibits 3.A.I</w:t>
      </w:r>
      <w:r w:rsidR="0040667B">
        <w:rPr>
          <w:rFonts w:ascii="Arial" w:hAnsi="Arial" w:cs="Arial"/>
          <w:sz w:val="22"/>
          <w:szCs w:val="22"/>
        </w:rPr>
        <w:t>I</w:t>
      </w:r>
      <w:r w:rsidR="007E57A0" w:rsidRPr="0040667B">
        <w:rPr>
          <w:rFonts w:ascii="Arial" w:hAnsi="Arial" w:cs="Arial"/>
          <w:sz w:val="22"/>
          <w:szCs w:val="22"/>
        </w:rPr>
        <w:t>I</w:t>
      </w:r>
      <w:hyperlink r:id="rId22" w:history="1">
        <w:r w:rsidR="00D4603E" w:rsidRPr="005502A3">
          <w:rPr>
            <w:rStyle w:val="Hyperlink"/>
            <w:rFonts w:ascii="Arial" w:hAnsi="Arial" w:cs="Arial"/>
            <w:sz w:val="22"/>
            <w:szCs w:val="22"/>
          </w:rPr>
          <w:t>:</w:t>
        </w:r>
        <w:r w:rsidR="00A53138" w:rsidRPr="005502A3">
          <w:rPr>
            <w:rStyle w:val="Hyperlink"/>
            <w:rFonts w:ascii="Arial" w:hAnsi="Arial" w:cs="Arial"/>
            <w:sz w:val="22"/>
            <w:szCs w:val="22"/>
          </w:rPr>
          <w:t xml:space="preserve"> </w:t>
        </w:r>
        <w:r w:rsidR="001F7511" w:rsidRPr="005502A3">
          <w:rPr>
            <w:rStyle w:val="Hyperlink"/>
            <w:rFonts w:ascii="Arial" w:hAnsi="Arial" w:cs="Arial"/>
            <w:i/>
            <w:sz w:val="22"/>
            <w:szCs w:val="22"/>
          </w:rPr>
          <w:t>2009/2010 Montana Tech C</w:t>
        </w:r>
        <w:r w:rsidR="00A53138" w:rsidRPr="005502A3">
          <w:rPr>
            <w:rStyle w:val="Hyperlink"/>
            <w:rFonts w:ascii="Arial" w:hAnsi="Arial" w:cs="Arial"/>
            <w:i/>
            <w:sz w:val="22"/>
            <w:szCs w:val="22"/>
          </w:rPr>
          <w:t>atalog</w:t>
        </w:r>
      </w:hyperlink>
      <w:r w:rsidR="0040667B" w:rsidRPr="006D20C9">
        <w:rPr>
          <w:rFonts w:ascii="Arial" w:hAnsi="Arial" w:cs="Arial"/>
          <w:sz w:val="22"/>
          <w:szCs w:val="22"/>
        </w:rPr>
        <w:t xml:space="preserve"> &amp; 3.B.</w:t>
      </w:r>
      <w:r w:rsidR="007E57A0" w:rsidRPr="006D20C9">
        <w:rPr>
          <w:rFonts w:ascii="Arial" w:hAnsi="Arial" w:cs="Arial"/>
          <w:sz w:val="22"/>
          <w:szCs w:val="22"/>
        </w:rPr>
        <w:t>I</w:t>
      </w:r>
      <w:hyperlink r:id="rId23" w:history="1">
        <w:r w:rsidR="00D4603E" w:rsidRPr="00074FD9">
          <w:rPr>
            <w:rStyle w:val="Hyperlink"/>
            <w:rFonts w:ascii="Arial" w:hAnsi="Arial" w:cs="Arial"/>
            <w:sz w:val="22"/>
            <w:szCs w:val="22"/>
          </w:rPr>
          <w:t>:</w:t>
        </w:r>
        <w:r w:rsidR="00A53138" w:rsidRPr="00074FD9">
          <w:rPr>
            <w:rStyle w:val="Hyperlink"/>
            <w:rFonts w:ascii="Arial" w:hAnsi="Arial" w:cs="Arial"/>
            <w:sz w:val="22"/>
            <w:szCs w:val="22"/>
          </w:rPr>
          <w:t xml:space="preserve"> </w:t>
        </w:r>
        <w:r w:rsidR="00425335" w:rsidRPr="00074FD9">
          <w:rPr>
            <w:rStyle w:val="Hyperlink"/>
            <w:rFonts w:ascii="Arial" w:hAnsi="Arial" w:cs="Arial"/>
            <w:i/>
            <w:sz w:val="22"/>
            <w:szCs w:val="22"/>
          </w:rPr>
          <w:t>2009-2010 Student Handbook &amp; Calendar</w:t>
        </w:r>
        <w:r w:rsidR="0040667B" w:rsidRPr="00074FD9">
          <w:rPr>
            <w:rStyle w:val="Hyperlink"/>
            <w:rFonts w:ascii="Arial" w:hAnsi="Arial" w:cs="Arial"/>
            <w:i/>
            <w:sz w:val="22"/>
            <w:szCs w:val="22"/>
          </w:rPr>
          <w:t>.</w:t>
        </w:r>
        <w:r w:rsidR="007E57A0" w:rsidRPr="00074FD9">
          <w:rPr>
            <w:rStyle w:val="Hyperlink"/>
            <w:rFonts w:ascii="Arial" w:hAnsi="Arial" w:cs="Arial"/>
            <w:sz w:val="22"/>
            <w:szCs w:val="22"/>
          </w:rPr>
          <w:t>)</w:t>
        </w:r>
      </w:hyperlink>
      <w:r w:rsidR="007E57A0" w:rsidRPr="00BC2423">
        <w:rPr>
          <w:rFonts w:ascii="Arial" w:hAnsi="Arial" w:cs="Arial"/>
          <w:sz w:val="22"/>
          <w:szCs w:val="22"/>
        </w:rPr>
        <w:t xml:space="preserve"> </w:t>
      </w:r>
    </w:p>
    <w:p w:rsidR="007016B3" w:rsidRDefault="007016B3" w:rsidP="001B4D6A">
      <w:pPr>
        <w:rPr>
          <w:rFonts w:ascii="Arial" w:hAnsi="Arial" w:cs="Arial"/>
          <w:sz w:val="22"/>
          <w:szCs w:val="22"/>
        </w:rPr>
      </w:pPr>
    </w:p>
    <w:p w:rsidR="007E57A0" w:rsidRPr="00BC2423" w:rsidRDefault="007E57A0" w:rsidP="001B4D6A">
      <w:pPr>
        <w:rPr>
          <w:rFonts w:ascii="Arial" w:hAnsi="Arial" w:cs="Arial"/>
          <w:sz w:val="22"/>
          <w:szCs w:val="22"/>
        </w:rPr>
      </w:pPr>
      <w:r w:rsidRPr="00D4603E">
        <w:rPr>
          <w:rFonts w:ascii="Arial" w:hAnsi="Arial" w:cs="Arial"/>
          <w:sz w:val="22"/>
          <w:szCs w:val="22"/>
        </w:rPr>
        <w:t xml:space="preserve">Additional documentation </w:t>
      </w:r>
      <w:r w:rsidR="00837BA2" w:rsidRPr="00D4603E">
        <w:rPr>
          <w:rFonts w:ascii="Arial" w:hAnsi="Arial" w:cs="Arial"/>
          <w:sz w:val="22"/>
          <w:szCs w:val="22"/>
        </w:rPr>
        <w:t>can be found in the various</w:t>
      </w:r>
      <w:r w:rsidRPr="00D4603E">
        <w:rPr>
          <w:rFonts w:ascii="Arial" w:hAnsi="Arial" w:cs="Arial"/>
          <w:sz w:val="22"/>
          <w:szCs w:val="22"/>
        </w:rPr>
        <w:t xml:space="preserve"> </w:t>
      </w:r>
      <w:r w:rsidR="00FC27FB" w:rsidRPr="00D4603E">
        <w:rPr>
          <w:rFonts w:ascii="Arial" w:hAnsi="Arial" w:cs="Arial"/>
          <w:sz w:val="22"/>
          <w:szCs w:val="22"/>
        </w:rPr>
        <w:t xml:space="preserve">job </w:t>
      </w:r>
      <w:r w:rsidRPr="00D4603E">
        <w:rPr>
          <w:rFonts w:ascii="Arial" w:hAnsi="Arial" w:cs="Arial"/>
          <w:sz w:val="22"/>
          <w:szCs w:val="22"/>
        </w:rPr>
        <w:t xml:space="preserve">manuals </w:t>
      </w:r>
      <w:r w:rsidR="00837BA2" w:rsidRPr="00D4603E">
        <w:rPr>
          <w:rFonts w:ascii="Arial" w:hAnsi="Arial" w:cs="Arial"/>
          <w:sz w:val="22"/>
          <w:szCs w:val="22"/>
        </w:rPr>
        <w:t>which apply to each area of student services.  Each</w:t>
      </w:r>
      <w:r w:rsidR="00837BA2">
        <w:rPr>
          <w:rFonts w:ascii="Arial" w:hAnsi="Arial" w:cs="Arial"/>
          <w:sz w:val="22"/>
          <w:szCs w:val="22"/>
        </w:rPr>
        <w:t xml:space="preserve"> individual uses</w:t>
      </w:r>
      <w:r w:rsidRPr="00BC2423">
        <w:rPr>
          <w:rFonts w:ascii="Arial" w:hAnsi="Arial" w:cs="Arial"/>
          <w:sz w:val="22"/>
          <w:szCs w:val="22"/>
        </w:rPr>
        <w:t xml:space="preserve"> a “balanced scorecard” to set annual/individualized goals and obje</w:t>
      </w:r>
      <w:r w:rsidR="00837BA2">
        <w:rPr>
          <w:rFonts w:ascii="Arial" w:hAnsi="Arial" w:cs="Arial"/>
          <w:sz w:val="22"/>
          <w:szCs w:val="22"/>
        </w:rPr>
        <w:t>ctives which support</w:t>
      </w:r>
      <w:r w:rsidRPr="00BC2423">
        <w:rPr>
          <w:rFonts w:ascii="Arial" w:hAnsi="Arial" w:cs="Arial"/>
          <w:sz w:val="22"/>
          <w:szCs w:val="22"/>
        </w:rPr>
        <w:t xml:space="preserve"> the </w:t>
      </w:r>
      <w:r w:rsidR="00837BA2">
        <w:rPr>
          <w:rFonts w:ascii="Arial" w:hAnsi="Arial" w:cs="Arial"/>
          <w:sz w:val="22"/>
          <w:szCs w:val="22"/>
        </w:rPr>
        <w:t xml:space="preserve">overall </w:t>
      </w:r>
      <w:r w:rsidRPr="00BC2423">
        <w:rPr>
          <w:rFonts w:ascii="Arial" w:hAnsi="Arial" w:cs="Arial"/>
          <w:sz w:val="22"/>
          <w:szCs w:val="22"/>
        </w:rPr>
        <w:t xml:space="preserve">strategic plan of the institution. These individual scorecards are then used to evaluate </w:t>
      </w:r>
      <w:r w:rsidR="007016B3">
        <w:rPr>
          <w:rFonts w:ascii="Arial" w:hAnsi="Arial" w:cs="Arial"/>
          <w:sz w:val="22"/>
          <w:szCs w:val="22"/>
        </w:rPr>
        <w:t xml:space="preserve">employee </w:t>
      </w:r>
      <w:r w:rsidRPr="00BC2423">
        <w:rPr>
          <w:rFonts w:ascii="Arial" w:hAnsi="Arial" w:cs="Arial"/>
          <w:sz w:val="22"/>
          <w:szCs w:val="22"/>
        </w:rPr>
        <w:t>performance and alignment with the overall strategic plan</w:t>
      </w:r>
      <w:r w:rsidRPr="0040667B">
        <w:rPr>
          <w:rFonts w:ascii="Arial" w:hAnsi="Arial" w:cs="Arial"/>
          <w:sz w:val="22"/>
          <w:szCs w:val="22"/>
        </w:rPr>
        <w:t>.  (</w:t>
      </w:r>
      <w:r w:rsidR="00837BA2" w:rsidRPr="0040667B">
        <w:rPr>
          <w:rFonts w:ascii="Arial" w:hAnsi="Arial" w:cs="Arial"/>
          <w:sz w:val="22"/>
          <w:szCs w:val="22"/>
        </w:rPr>
        <w:t xml:space="preserve">See </w:t>
      </w:r>
      <w:r w:rsidRPr="0040667B">
        <w:rPr>
          <w:rFonts w:ascii="Arial" w:hAnsi="Arial" w:cs="Arial"/>
          <w:sz w:val="22"/>
          <w:szCs w:val="22"/>
        </w:rPr>
        <w:t>Exhi</w:t>
      </w:r>
      <w:r w:rsidR="001E7895" w:rsidRPr="0040667B">
        <w:rPr>
          <w:rFonts w:ascii="Arial" w:hAnsi="Arial" w:cs="Arial"/>
          <w:sz w:val="22"/>
          <w:szCs w:val="22"/>
        </w:rPr>
        <w:t>bit 3.A.I</w:t>
      </w:r>
      <w:r w:rsidR="00013310">
        <w:rPr>
          <w:rFonts w:ascii="Arial" w:hAnsi="Arial" w:cs="Arial"/>
          <w:sz w:val="22"/>
          <w:szCs w:val="22"/>
        </w:rPr>
        <w:t>V</w:t>
      </w:r>
      <w:r w:rsidR="00D4603E" w:rsidRPr="0040667B">
        <w:rPr>
          <w:rFonts w:ascii="Arial" w:hAnsi="Arial" w:cs="Arial"/>
          <w:sz w:val="22"/>
          <w:szCs w:val="22"/>
        </w:rPr>
        <w:t>:</w:t>
      </w:r>
      <w:r w:rsidR="001E7895" w:rsidRPr="0040667B">
        <w:rPr>
          <w:rFonts w:ascii="Arial" w:hAnsi="Arial" w:cs="Arial"/>
          <w:sz w:val="22"/>
          <w:szCs w:val="22"/>
        </w:rPr>
        <w:t xml:space="preserve"> </w:t>
      </w:r>
      <w:r w:rsidR="001E7895" w:rsidRPr="0040667B">
        <w:rPr>
          <w:rFonts w:ascii="Arial" w:hAnsi="Arial" w:cs="Arial"/>
          <w:i/>
          <w:sz w:val="22"/>
          <w:szCs w:val="22"/>
          <w:u w:val="single"/>
        </w:rPr>
        <w:t>Balance Scorecards/Sample E</w:t>
      </w:r>
      <w:r w:rsidRPr="0040667B">
        <w:rPr>
          <w:rFonts w:ascii="Arial" w:hAnsi="Arial" w:cs="Arial"/>
          <w:i/>
          <w:sz w:val="22"/>
          <w:szCs w:val="22"/>
          <w:u w:val="single"/>
        </w:rPr>
        <w:t>valuations</w:t>
      </w:r>
      <w:r w:rsidR="0040667B">
        <w:rPr>
          <w:rFonts w:ascii="Arial" w:hAnsi="Arial" w:cs="Arial"/>
          <w:i/>
          <w:sz w:val="22"/>
          <w:szCs w:val="22"/>
          <w:u w:val="single"/>
        </w:rPr>
        <w:t>.</w:t>
      </w:r>
      <w:r w:rsidRPr="0040667B">
        <w:rPr>
          <w:rFonts w:ascii="Arial" w:hAnsi="Arial" w:cs="Arial"/>
          <w:sz w:val="22"/>
          <w:szCs w:val="22"/>
        </w:rPr>
        <w:t>)</w:t>
      </w:r>
    </w:p>
    <w:p w:rsidR="007E57A0" w:rsidRPr="0012523D" w:rsidRDefault="007E57A0" w:rsidP="001B4D6A">
      <w:pPr>
        <w:spacing w:after="200"/>
        <w:contextualSpacing/>
        <w:rPr>
          <w:sz w:val="22"/>
          <w:szCs w:val="22"/>
        </w:rPr>
      </w:pPr>
    </w:p>
    <w:p w:rsidR="007E57A0" w:rsidRPr="0089684E" w:rsidRDefault="007E57A0" w:rsidP="001B4D6A">
      <w:pPr>
        <w:rPr>
          <w:rFonts w:ascii="Arial" w:hAnsi="Arial" w:cs="Arial"/>
          <w:b/>
          <w:sz w:val="22"/>
          <w:szCs w:val="22"/>
        </w:rPr>
      </w:pPr>
      <w:r>
        <w:rPr>
          <w:rFonts w:ascii="Arial" w:hAnsi="Arial" w:cs="Arial"/>
          <w:b/>
          <w:sz w:val="22"/>
          <w:szCs w:val="22"/>
        </w:rPr>
        <w:t>3.A.4</w:t>
      </w:r>
      <w:r>
        <w:rPr>
          <w:rFonts w:ascii="Arial" w:hAnsi="Arial" w:cs="Arial"/>
          <w:b/>
          <w:sz w:val="22"/>
          <w:szCs w:val="22"/>
        </w:rPr>
        <w:tab/>
      </w:r>
      <w:r w:rsidRPr="0089684E">
        <w:rPr>
          <w:rFonts w:ascii="Arial" w:hAnsi="Arial" w:cs="Arial"/>
          <w:b/>
          <w:sz w:val="22"/>
          <w:szCs w:val="22"/>
        </w:rPr>
        <w:t xml:space="preserve">Human, physical, and financial resources for student services and programs are allocated on the basis of identified needs and are adequate to support the services and programs offered. </w:t>
      </w:r>
    </w:p>
    <w:p w:rsidR="007E57A0" w:rsidRDefault="007E57A0" w:rsidP="001B4D6A">
      <w:pPr>
        <w:rPr>
          <w:rFonts w:ascii="Arial" w:hAnsi="Arial" w:cs="Arial"/>
          <w:b/>
          <w:sz w:val="22"/>
          <w:szCs w:val="22"/>
        </w:rPr>
      </w:pPr>
    </w:p>
    <w:p w:rsidR="007E57A0" w:rsidRPr="008B0519" w:rsidRDefault="00837BA2" w:rsidP="001B4D6A">
      <w:pPr>
        <w:spacing w:after="200"/>
        <w:contextualSpacing/>
        <w:rPr>
          <w:rFonts w:ascii="Arial" w:hAnsi="Arial" w:cs="Arial"/>
          <w:sz w:val="22"/>
          <w:szCs w:val="22"/>
        </w:rPr>
      </w:pPr>
      <w:r>
        <w:rPr>
          <w:rFonts w:ascii="Arial" w:hAnsi="Arial" w:cs="Arial"/>
          <w:sz w:val="22"/>
          <w:szCs w:val="22"/>
        </w:rPr>
        <w:t>A</w:t>
      </w:r>
      <w:r w:rsidR="00370A63" w:rsidRPr="00535D37">
        <w:rPr>
          <w:rFonts w:ascii="Arial" w:hAnsi="Arial" w:cs="Arial"/>
          <w:sz w:val="22"/>
          <w:szCs w:val="22"/>
        </w:rPr>
        <w:t xml:space="preserve">llocation </w:t>
      </w:r>
      <w:r>
        <w:rPr>
          <w:rFonts w:ascii="Arial" w:hAnsi="Arial" w:cs="Arial"/>
          <w:sz w:val="22"/>
          <w:szCs w:val="22"/>
        </w:rPr>
        <w:t xml:space="preserve">of resources </w:t>
      </w:r>
      <w:r w:rsidR="00370A63" w:rsidRPr="00535D37">
        <w:rPr>
          <w:rFonts w:ascii="Arial" w:hAnsi="Arial" w:cs="Arial"/>
          <w:sz w:val="22"/>
          <w:szCs w:val="22"/>
        </w:rPr>
        <w:t>to student se</w:t>
      </w:r>
      <w:r w:rsidR="00370A63">
        <w:rPr>
          <w:rFonts w:ascii="Arial" w:hAnsi="Arial" w:cs="Arial"/>
          <w:sz w:val="22"/>
          <w:szCs w:val="22"/>
        </w:rPr>
        <w:t>rvices is adequate to maintain</w:t>
      </w:r>
      <w:r w:rsidR="00370A63" w:rsidRPr="00535D37">
        <w:rPr>
          <w:rFonts w:ascii="Arial" w:hAnsi="Arial" w:cs="Arial"/>
          <w:sz w:val="22"/>
          <w:szCs w:val="22"/>
        </w:rPr>
        <w:t xml:space="preserve"> progra</w:t>
      </w:r>
      <w:r w:rsidR="00370A63">
        <w:rPr>
          <w:rFonts w:ascii="Arial" w:hAnsi="Arial" w:cs="Arial"/>
          <w:sz w:val="22"/>
          <w:szCs w:val="22"/>
        </w:rPr>
        <w:t>ms and services</w:t>
      </w:r>
      <w:r>
        <w:rPr>
          <w:rFonts w:ascii="Arial" w:hAnsi="Arial" w:cs="Arial"/>
          <w:sz w:val="22"/>
          <w:szCs w:val="22"/>
        </w:rPr>
        <w:t>,</w:t>
      </w:r>
      <w:r w:rsidR="00370A63">
        <w:rPr>
          <w:rFonts w:ascii="Arial" w:hAnsi="Arial" w:cs="Arial"/>
          <w:sz w:val="22"/>
          <w:szCs w:val="22"/>
        </w:rPr>
        <w:t xml:space="preserve"> but student enrollment has outgrown some campus facilities.</w:t>
      </w:r>
      <w:r w:rsidR="00370A63" w:rsidRPr="00515D18">
        <w:rPr>
          <w:rFonts w:ascii="Arial" w:hAnsi="Arial" w:cs="Arial"/>
          <w:sz w:val="22"/>
          <w:szCs w:val="22"/>
        </w:rPr>
        <w:t xml:space="preserve"> </w:t>
      </w:r>
      <w:r>
        <w:rPr>
          <w:rFonts w:ascii="Arial" w:hAnsi="Arial" w:cs="Arial"/>
          <w:sz w:val="22"/>
          <w:szCs w:val="22"/>
        </w:rPr>
        <w:t>A</w:t>
      </w:r>
      <w:r w:rsidR="007E57A0" w:rsidRPr="00515D18">
        <w:rPr>
          <w:rFonts w:ascii="Arial" w:hAnsi="Arial" w:cs="Arial"/>
          <w:sz w:val="22"/>
          <w:szCs w:val="22"/>
        </w:rPr>
        <w:t xml:space="preserve"> scarcity of resources is a fundamental economic principle that certainly applies to Montana Tech.</w:t>
      </w:r>
      <w:r w:rsidR="007E57A0" w:rsidRPr="00535D37">
        <w:rPr>
          <w:rFonts w:ascii="Arial" w:hAnsi="Arial" w:cs="Arial"/>
          <w:sz w:val="22"/>
          <w:szCs w:val="22"/>
        </w:rPr>
        <w:t xml:space="preserve">  </w:t>
      </w:r>
      <w:r>
        <w:rPr>
          <w:rFonts w:ascii="Arial" w:hAnsi="Arial" w:cs="Arial"/>
          <w:sz w:val="22"/>
          <w:szCs w:val="22"/>
        </w:rPr>
        <w:t>Therefore, a</w:t>
      </w:r>
      <w:r w:rsidR="007E57A0" w:rsidRPr="00535D37">
        <w:rPr>
          <w:rFonts w:ascii="Arial" w:hAnsi="Arial" w:cs="Arial"/>
          <w:sz w:val="22"/>
          <w:szCs w:val="22"/>
        </w:rPr>
        <w:t>ttracting and retaining highly-</w:t>
      </w:r>
      <w:r w:rsidR="007E57A0" w:rsidRPr="00BA2291">
        <w:rPr>
          <w:rFonts w:ascii="Arial" w:hAnsi="Arial" w:cs="Arial"/>
          <w:sz w:val="22"/>
          <w:szCs w:val="22"/>
        </w:rPr>
        <w:t xml:space="preserve">qualified </w:t>
      </w:r>
      <w:r w:rsidR="00370A63" w:rsidRPr="00BA2291">
        <w:rPr>
          <w:rFonts w:ascii="Arial" w:hAnsi="Arial" w:cs="Arial"/>
          <w:sz w:val="22"/>
          <w:szCs w:val="22"/>
        </w:rPr>
        <w:t>staff</w:t>
      </w:r>
      <w:r w:rsidR="007E57A0" w:rsidRPr="00BA2291">
        <w:rPr>
          <w:rFonts w:ascii="Arial" w:hAnsi="Arial" w:cs="Arial"/>
          <w:sz w:val="22"/>
          <w:szCs w:val="22"/>
        </w:rPr>
        <w:t xml:space="preserve"> is an on-going challenge for this institution.  Despite the</w:t>
      </w:r>
      <w:r w:rsidRPr="00BA2291">
        <w:rPr>
          <w:rFonts w:ascii="Arial" w:hAnsi="Arial" w:cs="Arial"/>
          <w:sz w:val="22"/>
          <w:szCs w:val="22"/>
        </w:rPr>
        <w:t>se</w:t>
      </w:r>
      <w:r w:rsidR="007E57A0" w:rsidRPr="00BA2291">
        <w:rPr>
          <w:rFonts w:ascii="Arial" w:hAnsi="Arial" w:cs="Arial"/>
          <w:sz w:val="22"/>
          <w:szCs w:val="22"/>
        </w:rPr>
        <w:t xml:space="preserve"> challenges, Montana Tech </w:t>
      </w:r>
      <w:r w:rsidRPr="00BA2291">
        <w:rPr>
          <w:rFonts w:ascii="Arial" w:hAnsi="Arial" w:cs="Arial"/>
          <w:sz w:val="22"/>
          <w:szCs w:val="22"/>
        </w:rPr>
        <w:t>maintains an excellent staff and</w:t>
      </w:r>
      <w:r w:rsidR="007E57A0" w:rsidRPr="00BA2291">
        <w:rPr>
          <w:rFonts w:ascii="Arial" w:hAnsi="Arial" w:cs="Arial"/>
          <w:sz w:val="22"/>
          <w:szCs w:val="22"/>
        </w:rPr>
        <w:t xml:space="preserve"> remain</w:t>
      </w:r>
      <w:r w:rsidRPr="00BA2291">
        <w:rPr>
          <w:rFonts w:ascii="Arial" w:hAnsi="Arial" w:cs="Arial"/>
          <w:sz w:val="22"/>
          <w:szCs w:val="22"/>
        </w:rPr>
        <w:t>s</w:t>
      </w:r>
      <w:r w:rsidR="007E57A0" w:rsidRPr="00BA2291">
        <w:rPr>
          <w:rFonts w:ascii="Arial" w:hAnsi="Arial" w:cs="Arial"/>
          <w:sz w:val="22"/>
          <w:szCs w:val="22"/>
        </w:rPr>
        <w:t xml:space="preserve"> committed to </w:t>
      </w:r>
      <w:r w:rsidR="0097598C">
        <w:rPr>
          <w:rFonts w:ascii="Arial" w:hAnsi="Arial" w:cs="Arial"/>
          <w:sz w:val="22"/>
          <w:szCs w:val="22"/>
        </w:rPr>
        <w:t xml:space="preserve">providing </w:t>
      </w:r>
      <w:r w:rsidR="007E57A0" w:rsidRPr="00BA2291">
        <w:rPr>
          <w:rFonts w:ascii="Arial" w:hAnsi="Arial" w:cs="Arial"/>
          <w:sz w:val="22"/>
          <w:szCs w:val="22"/>
        </w:rPr>
        <w:t>excellent s</w:t>
      </w:r>
      <w:r w:rsidRPr="00BA2291">
        <w:rPr>
          <w:rFonts w:ascii="Arial" w:hAnsi="Arial" w:cs="Arial"/>
          <w:sz w:val="22"/>
          <w:szCs w:val="22"/>
        </w:rPr>
        <w:t>ervice to its</w:t>
      </w:r>
      <w:r w:rsidR="007E57A0" w:rsidRPr="00BA2291">
        <w:rPr>
          <w:rFonts w:ascii="Arial" w:hAnsi="Arial" w:cs="Arial"/>
          <w:sz w:val="22"/>
          <w:szCs w:val="22"/>
        </w:rPr>
        <w:t xml:space="preserve"> students.  The past four years, </w:t>
      </w:r>
      <w:r w:rsidR="008A2396" w:rsidRPr="00BA2291">
        <w:rPr>
          <w:rFonts w:ascii="Arial" w:hAnsi="Arial" w:cs="Arial"/>
          <w:sz w:val="22"/>
          <w:szCs w:val="22"/>
        </w:rPr>
        <w:t xml:space="preserve">capacity of </w:t>
      </w:r>
      <w:r w:rsidR="00370A63" w:rsidRPr="00BA2291">
        <w:rPr>
          <w:rFonts w:ascii="Arial" w:hAnsi="Arial" w:cs="Arial"/>
          <w:sz w:val="22"/>
          <w:szCs w:val="22"/>
        </w:rPr>
        <w:t xml:space="preserve">the two residence halls </w:t>
      </w:r>
      <w:r w:rsidR="008A2396" w:rsidRPr="00BA2291">
        <w:rPr>
          <w:rFonts w:ascii="Arial" w:hAnsi="Arial" w:cs="Arial"/>
          <w:sz w:val="22"/>
          <w:szCs w:val="22"/>
        </w:rPr>
        <w:t xml:space="preserve">has been exceeded so that some </w:t>
      </w:r>
      <w:r w:rsidR="007E57A0" w:rsidRPr="00BA2291">
        <w:rPr>
          <w:rFonts w:ascii="Arial" w:hAnsi="Arial" w:cs="Arial"/>
          <w:sz w:val="22"/>
          <w:szCs w:val="22"/>
        </w:rPr>
        <w:t>stu</w:t>
      </w:r>
      <w:r w:rsidR="008A2396" w:rsidRPr="00BA2291">
        <w:rPr>
          <w:rFonts w:ascii="Arial" w:hAnsi="Arial" w:cs="Arial"/>
          <w:sz w:val="22"/>
          <w:szCs w:val="22"/>
        </w:rPr>
        <w:t>dents had to be</w:t>
      </w:r>
      <w:r w:rsidR="008C2B80" w:rsidRPr="00BA2291">
        <w:rPr>
          <w:rFonts w:ascii="Arial" w:hAnsi="Arial" w:cs="Arial"/>
          <w:sz w:val="22"/>
          <w:szCs w:val="22"/>
        </w:rPr>
        <w:t xml:space="preserve"> </w:t>
      </w:r>
      <w:r w:rsidR="008A2396" w:rsidRPr="00BA2291">
        <w:rPr>
          <w:rFonts w:ascii="Arial" w:hAnsi="Arial" w:cs="Arial"/>
          <w:sz w:val="22"/>
          <w:szCs w:val="22"/>
        </w:rPr>
        <w:t>housed in</w:t>
      </w:r>
      <w:r w:rsidR="002B2D48" w:rsidRPr="00BA2291">
        <w:rPr>
          <w:rFonts w:ascii="Arial" w:hAnsi="Arial" w:cs="Arial"/>
          <w:sz w:val="22"/>
          <w:szCs w:val="22"/>
        </w:rPr>
        <w:t xml:space="preserve"> off-</w:t>
      </w:r>
      <w:r w:rsidR="007E57A0" w:rsidRPr="00BA2291">
        <w:rPr>
          <w:rFonts w:ascii="Arial" w:hAnsi="Arial" w:cs="Arial"/>
          <w:sz w:val="22"/>
          <w:szCs w:val="22"/>
        </w:rPr>
        <w:t>campus housing units</w:t>
      </w:r>
      <w:r w:rsidR="002B2D48" w:rsidRPr="00BA2291">
        <w:rPr>
          <w:rFonts w:ascii="Arial" w:hAnsi="Arial" w:cs="Arial"/>
          <w:sz w:val="22"/>
          <w:szCs w:val="22"/>
        </w:rPr>
        <w:t>.  In addition, the</w:t>
      </w:r>
      <w:r w:rsidR="007E57A0" w:rsidRPr="00BA2291">
        <w:rPr>
          <w:rFonts w:ascii="Arial" w:hAnsi="Arial" w:cs="Arial"/>
          <w:sz w:val="22"/>
          <w:szCs w:val="22"/>
        </w:rPr>
        <w:t xml:space="preserve"> HPER (gym) complex is stretched to meet</w:t>
      </w:r>
      <w:r w:rsidR="007E57A0" w:rsidRPr="000058FA">
        <w:rPr>
          <w:rFonts w:ascii="Arial" w:hAnsi="Arial" w:cs="Arial"/>
          <w:sz w:val="22"/>
          <w:szCs w:val="22"/>
        </w:rPr>
        <w:t xml:space="preserve"> the demands of </w:t>
      </w:r>
      <w:r w:rsidR="008A2396">
        <w:rPr>
          <w:rFonts w:ascii="Arial" w:hAnsi="Arial" w:cs="Arial"/>
          <w:sz w:val="22"/>
          <w:szCs w:val="22"/>
        </w:rPr>
        <w:t xml:space="preserve">both </w:t>
      </w:r>
      <w:r w:rsidR="007E57A0" w:rsidRPr="000058FA">
        <w:rPr>
          <w:rFonts w:ascii="Arial" w:hAnsi="Arial" w:cs="Arial"/>
          <w:sz w:val="22"/>
          <w:szCs w:val="22"/>
        </w:rPr>
        <w:t>athletics and campus recreation.</w:t>
      </w:r>
      <w:r w:rsidR="004152D9" w:rsidRPr="000058FA">
        <w:rPr>
          <w:rFonts w:ascii="Arial" w:hAnsi="Arial" w:cs="Arial"/>
          <w:sz w:val="22"/>
          <w:szCs w:val="22"/>
        </w:rPr>
        <w:t xml:space="preserve">  Montan</w:t>
      </w:r>
      <w:r w:rsidR="00370A63">
        <w:rPr>
          <w:rFonts w:ascii="Arial" w:hAnsi="Arial" w:cs="Arial"/>
          <w:sz w:val="22"/>
          <w:szCs w:val="22"/>
        </w:rPr>
        <w:t>a Tech’s auxiliary facilities (apartment h</w:t>
      </w:r>
      <w:r w:rsidR="004152D9" w:rsidRPr="000058FA">
        <w:rPr>
          <w:rFonts w:ascii="Arial" w:hAnsi="Arial" w:cs="Arial"/>
          <w:sz w:val="22"/>
          <w:szCs w:val="22"/>
        </w:rPr>
        <w:t>ousing, Prospector and Centennial Hall</w:t>
      </w:r>
      <w:r w:rsidR="003E1C1C">
        <w:rPr>
          <w:rFonts w:ascii="Arial" w:hAnsi="Arial" w:cs="Arial"/>
          <w:sz w:val="22"/>
          <w:szCs w:val="22"/>
        </w:rPr>
        <w:t>s</w:t>
      </w:r>
      <w:r w:rsidR="004152D9" w:rsidRPr="000058FA">
        <w:rPr>
          <w:rFonts w:ascii="Arial" w:hAnsi="Arial" w:cs="Arial"/>
          <w:sz w:val="22"/>
          <w:szCs w:val="22"/>
        </w:rPr>
        <w:t xml:space="preserve">, </w:t>
      </w:r>
      <w:r w:rsidR="00554F83" w:rsidRPr="000058FA">
        <w:rPr>
          <w:rFonts w:ascii="Arial" w:hAnsi="Arial" w:cs="Arial"/>
          <w:sz w:val="22"/>
          <w:szCs w:val="22"/>
        </w:rPr>
        <w:t>the Student Union</w:t>
      </w:r>
      <w:r w:rsidR="00370A63">
        <w:rPr>
          <w:rFonts w:ascii="Arial" w:hAnsi="Arial" w:cs="Arial"/>
          <w:sz w:val="22"/>
          <w:szCs w:val="22"/>
        </w:rPr>
        <w:t>, Bookstore, health s</w:t>
      </w:r>
      <w:r w:rsidR="008C2B80">
        <w:rPr>
          <w:rFonts w:ascii="Arial" w:hAnsi="Arial" w:cs="Arial"/>
          <w:sz w:val="22"/>
          <w:szCs w:val="22"/>
        </w:rPr>
        <w:t>ervices, a</w:t>
      </w:r>
      <w:r w:rsidR="00370A63">
        <w:rPr>
          <w:rFonts w:ascii="Arial" w:hAnsi="Arial" w:cs="Arial"/>
          <w:sz w:val="22"/>
          <w:szCs w:val="22"/>
        </w:rPr>
        <w:t>nd p</w:t>
      </w:r>
      <w:r w:rsidR="008C2B80">
        <w:rPr>
          <w:rFonts w:ascii="Arial" w:hAnsi="Arial" w:cs="Arial"/>
          <w:sz w:val="22"/>
          <w:szCs w:val="22"/>
        </w:rPr>
        <w:t>arking</w:t>
      </w:r>
      <w:r w:rsidR="00554F83" w:rsidRPr="000058FA">
        <w:rPr>
          <w:rFonts w:ascii="Arial" w:hAnsi="Arial" w:cs="Arial"/>
          <w:sz w:val="22"/>
          <w:szCs w:val="22"/>
        </w:rPr>
        <w:t xml:space="preserve">) have a system in </w:t>
      </w:r>
      <w:r w:rsidR="00554F83" w:rsidRPr="006E20B9">
        <w:rPr>
          <w:rFonts w:ascii="Arial" w:hAnsi="Arial" w:cs="Arial"/>
          <w:sz w:val="22"/>
          <w:szCs w:val="22"/>
        </w:rPr>
        <w:t>place (</w:t>
      </w:r>
      <w:r w:rsidR="008A2396" w:rsidRPr="006E20B9">
        <w:rPr>
          <w:rFonts w:ascii="Arial" w:hAnsi="Arial" w:cs="Arial"/>
          <w:sz w:val="22"/>
          <w:szCs w:val="22"/>
        </w:rPr>
        <w:t xml:space="preserve">See </w:t>
      </w:r>
      <w:r w:rsidR="00CA076D">
        <w:rPr>
          <w:rFonts w:ascii="Arial" w:hAnsi="Arial" w:cs="Arial"/>
          <w:sz w:val="22"/>
          <w:szCs w:val="22"/>
        </w:rPr>
        <w:t>Exhibit 3.A.</w:t>
      </w:r>
      <w:r w:rsidR="00554F83" w:rsidRPr="006E20B9">
        <w:rPr>
          <w:rFonts w:ascii="Arial" w:hAnsi="Arial" w:cs="Arial"/>
          <w:sz w:val="22"/>
          <w:szCs w:val="22"/>
        </w:rPr>
        <w:t>V</w:t>
      </w:r>
      <w:r w:rsidR="00D4603E" w:rsidRPr="006E20B9">
        <w:rPr>
          <w:rFonts w:ascii="Arial" w:hAnsi="Arial" w:cs="Arial"/>
          <w:sz w:val="22"/>
          <w:szCs w:val="22"/>
        </w:rPr>
        <w:t xml:space="preserve">:  </w:t>
      </w:r>
      <w:hyperlink r:id="rId24" w:history="1">
        <w:r w:rsidR="00554F83" w:rsidRPr="002A34F1">
          <w:rPr>
            <w:rStyle w:val="Hyperlink"/>
            <w:rFonts w:ascii="Arial" w:hAnsi="Arial" w:cs="Arial"/>
            <w:i/>
            <w:sz w:val="22"/>
            <w:szCs w:val="22"/>
          </w:rPr>
          <w:t>Auxiliary</w:t>
        </w:r>
        <w:r w:rsidR="008C2B80" w:rsidRPr="002A34F1">
          <w:rPr>
            <w:rStyle w:val="Hyperlink"/>
            <w:rFonts w:ascii="Arial" w:hAnsi="Arial" w:cs="Arial"/>
            <w:i/>
            <w:sz w:val="22"/>
            <w:szCs w:val="22"/>
          </w:rPr>
          <w:t xml:space="preserve"> Projects &amp; Planning</w:t>
        </w:r>
      </w:hyperlink>
      <w:r w:rsidR="00554F83" w:rsidRPr="002A34F1">
        <w:rPr>
          <w:rFonts w:ascii="Arial" w:hAnsi="Arial" w:cs="Arial"/>
          <w:sz w:val="22"/>
          <w:szCs w:val="22"/>
        </w:rPr>
        <w:t>) t</w:t>
      </w:r>
      <w:r w:rsidR="00554F83" w:rsidRPr="006E20B9">
        <w:rPr>
          <w:rFonts w:ascii="Arial" w:hAnsi="Arial" w:cs="Arial"/>
          <w:sz w:val="22"/>
          <w:szCs w:val="22"/>
        </w:rPr>
        <w:t>o continually monitor and review major</w:t>
      </w:r>
      <w:r w:rsidR="00554F83" w:rsidRPr="000058FA">
        <w:rPr>
          <w:rFonts w:ascii="Arial" w:hAnsi="Arial" w:cs="Arial"/>
          <w:sz w:val="22"/>
          <w:szCs w:val="22"/>
        </w:rPr>
        <w:t xml:space="preserve"> facility maintenance issues.</w:t>
      </w:r>
      <w:r w:rsidR="00394820" w:rsidRPr="000058FA">
        <w:rPr>
          <w:rFonts w:ascii="Arial" w:hAnsi="Arial" w:cs="Arial"/>
          <w:sz w:val="22"/>
          <w:szCs w:val="22"/>
        </w:rPr>
        <w:t xml:space="preserve">  State funding for departments within student services is roughly </w:t>
      </w:r>
      <w:r w:rsidR="008A2396">
        <w:rPr>
          <w:rFonts w:ascii="Arial" w:hAnsi="Arial" w:cs="Arial"/>
          <w:sz w:val="22"/>
          <w:szCs w:val="22"/>
        </w:rPr>
        <w:t xml:space="preserve">only </w:t>
      </w:r>
      <w:r w:rsidR="008C2B80">
        <w:rPr>
          <w:rFonts w:ascii="Arial" w:hAnsi="Arial" w:cs="Arial"/>
          <w:sz w:val="22"/>
          <w:szCs w:val="22"/>
        </w:rPr>
        <w:t>9.6%</w:t>
      </w:r>
      <w:r w:rsidR="00394820" w:rsidRPr="000058FA">
        <w:rPr>
          <w:rFonts w:ascii="Arial" w:hAnsi="Arial" w:cs="Arial"/>
          <w:sz w:val="22"/>
          <w:szCs w:val="22"/>
        </w:rPr>
        <w:t xml:space="preserve"> of the state allocation of the University as a whole.</w:t>
      </w:r>
      <w:r w:rsidR="00CC478E">
        <w:rPr>
          <w:rFonts w:ascii="Arial" w:hAnsi="Arial" w:cs="Arial"/>
          <w:sz w:val="22"/>
          <w:szCs w:val="22"/>
        </w:rPr>
        <w:t xml:space="preserve"> </w:t>
      </w:r>
    </w:p>
    <w:p w:rsidR="007E57A0" w:rsidRPr="00AC443B" w:rsidRDefault="007E57A0" w:rsidP="001B4D6A">
      <w:pPr>
        <w:rPr>
          <w:rFonts w:ascii="Arial" w:hAnsi="Arial" w:cs="Arial"/>
          <w:color w:val="0000FF"/>
          <w:sz w:val="22"/>
          <w:szCs w:val="22"/>
        </w:rPr>
      </w:pPr>
    </w:p>
    <w:p w:rsidR="001B783E" w:rsidRDefault="007E57A0" w:rsidP="001B4D6A">
      <w:pPr>
        <w:rPr>
          <w:rFonts w:ascii="Arial" w:hAnsi="Arial" w:cs="Arial"/>
          <w:b/>
          <w:bCs/>
          <w:i/>
          <w:iCs/>
          <w:kern w:val="32"/>
          <w:sz w:val="28"/>
          <w:szCs w:val="28"/>
        </w:rPr>
      </w:pPr>
      <w:r w:rsidRPr="0089684E">
        <w:rPr>
          <w:rFonts w:ascii="Arial" w:hAnsi="Arial" w:cs="Arial"/>
          <w:b/>
          <w:bCs/>
          <w:i/>
          <w:iCs/>
          <w:kern w:val="32"/>
          <w:sz w:val="28"/>
          <w:szCs w:val="28"/>
        </w:rPr>
        <w:t>Standard 3.B - General Responsibilities</w:t>
      </w:r>
    </w:p>
    <w:p w:rsidR="001B783E" w:rsidRPr="001B783E" w:rsidRDefault="001B783E" w:rsidP="001B4D6A">
      <w:pPr>
        <w:rPr>
          <w:rFonts w:ascii="Arial" w:hAnsi="Arial" w:cs="Arial"/>
          <w:b/>
          <w:bCs/>
          <w:i/>
          <w:iCs/>
          <w:kern w:val="32"/>
          <w:sz w:val="22"/>
          <w:szCs w:val="22"/>
        </w:rPr>
      </w:pPr>
    </w:p>
    <w:p w:rsidR="007E57A0" w:rsidRPr="000142A1" w:rsidRDefault="00677D90" w:rsidP="001B4D6A">
      <w:pPr>
        <w:rPr>
          <w:rFonts w:ascii="Arial" w:hAnsi="Arial" w:cs="Arial"/>
          <w:b/>
          <w:bCs/>
          <w:i/>
          <w:iCs/>
          <w:kern w:val="32"/>
          <w:sz w:val="22"/>
          <w:szCs w:val="22"/>
        </w:rPr>
      </w:pPr>
      <w:r w:rsidRPr="000142A1">
        <w:rPr>
          <w:rFonts w:ascii="Arial" w:hAnsi="Arial" w:cs="Arial"/>
          <w:b/>
          <w:bCs/>
          <w:i/>
          <w:iCs/>
          <w:kern w:val="32"/>
          <w:sz w:val="22"/>
          <w:szCs w:val="22"/>
        </w:rPr>
        <w:t>The institution provides student services and programs based upon</w:t>
      </w:r>
      <w:r w:rsidR="000142A1" w:rsidRPr="000142A1">
        <w:rPr>
          <w:rFonts w:ascii="Arial" w:hAnsi="Arial" w:cs="Arial"/>
          <w:b/>
          <w:bCs/>
          <w:i/>
          <w:iCs/>
          <w:kern w:val="32"/>
          <w:sz w:val="22"/>
          <w:szCs w:val="22"/>
        </w:rPr>
        <w:t xml:space="preserve"> an assessment of st</w:t>
      </w:r>
      <w:r w:rsidR="000142A1">
        <w:rPr>
          <w:rFonts w:ascii="Arial" w:hAnsi="Arial" w:cs="Arial"/>
          <w:b/>
          <w:bCs/>
          <w:i/>
          <w:iCs/>
          <w:kern w:val="32"/>
          <w:sz w:val="22"/>
          <w:szCs w:val="22"/>
        </w:rPr>
        <w:t>udent needs, provides adequate support for the services offered to achieve established goals, and adopts, publishes, and makes available policies that are accurate and current.</w:t>
      </w:r>
    </w:p>
    <w:p w:rsidR="007E57A0" w:rsidRDefault="007E57A0" w:rsidP="001B4D6A"/>
    <w:p w:rsidR="007E57A0" w:rsidRDefault="007E57A0" w:rsidP="001B4D6A">
      <w:pPr>
        <w:rPr>
          <w:rFonts w:ascii="Arial" w:hAnsi="Arial" w:cs="Arial"/>
          <w:b/>
          <w:sz w:val="22"/>
          <w:szCs w:val="22"/>
        </w:rPr>
      </w:pPr>
      <w:r>
        <w:rPr>
          <w:rFonts w:ascii="Arial" w:hAnsi="Arial" w:cs="Arial"/>
          <w:b/>
          <w:sz w:val="22"/>
          <w:szCs w:val="22"/>
        </w:rPr>
        <w:t>3.B.1</w:t>
      </w:r>
      <w:r>
        <w:rPr>
          <w:rFonts w:ascii="Arial" w:hAnsi="Arial" w:cs="Arial"/>
          <w:b/>
          <w:sz w:val="22"/>
          <w:szCs w:val="22"/>
        </w:rPr>
        <w:tab/>
      </w:r>
      <w:r w:rsidRPr="0089684E">
        <w:rPr>
          <w:rFonts w:ascii="Arial" w:hAnsi="Arial" w:cs="Arial"/>
          <w:b/>
          <w:sz w:val="22"/>
          <w:szCs w:val="22"/>
        </w:rPr>
        <w:t xml:space="preserve">The institution systematically identifies the characteristics of its student population </w:t>
      </w:r>
      <w:r w:rsidRPr="00965310">
        <w:rPr>
          <w:rFonts w:ascii="Arial" w:hAnsi="Arial" w:cs="Arial"/>
          <w:b/>
          <w:sz w:val="22"/>
          <w:szCs w:val="22"/>
        </w:rPr>
        <w:t>and students’ learning and special needs. The</w:t>
      </w:r>
      <w:r w:rsidRPr="0089684E">
        <w:rPr>
          <w:rFonts w:ascii="Arial" w:hAnsi="Arial" w:cs="Arial"/>
          <w:b/>
          <w:sz w:val="22"/>
          <w:szCs w:val="22"/>
        </w:rPr>
        <w:t xml:space="preserve"> institution makes provision for meeting those identified needs, emphasizing students’ achievement of their educational goals.</w:t>
      </w:r>
    </w:p>
    <w:p w:rsidR="007E57A0" w:rsidRDefault="007E57A0" w:rsidP="001B4D6A">
      <w:pPr>
        <w:rPr>
          <w:rFonts w:ascii="Arial" w:hAnsi="Arial" w:cs="Arial"/>
          <w:b/>
          <w:sz w:val="22"/>
          <w:szCs w:val="22"/>
        </w:rPr>
      </w:pPr>
    </w:p>
    <w:p w:rsidR="007E57A0" w:rsidRDefault="008A2396" w:rsidP="001B4D6A">
      <w:pPr>
        <w:rPr>
          <w:rFonts w:ascii="Arial" w:hAnsi="Arial" w:cs="Arial"/>
          <w:sz w:val="22"/>
          <w:szCs w:val="22"/>
        </w:rPr>
      </w:pPr>
      <w:bookmarkStart w:id="0" w:name="OLE_LINK1"/>
      <w:r>
        <w:rPr>
          <w:rFonts w:ascii="Arial" w:hAnsi="Arial" w:cs="Arial"/>
          <w:sz w:val="22"/>
          <w:szCs w:val="22"/>
        </w:rPr>
        <w:t>B</w:t>
      </w:r>
      <w:r w:rsidRPr="00BC2423">
        <w:rPr>
          <w:rFonts w:ascii="Arial" w:hAnsi="Arial" w:cs="Arial"/>
          <w:sz w:val="22"/>
          <w:szCs w:val="22"/>
        </w:rPr>
        <w:t xml:space="preserve">eginning </w:t>
      </w:r>
      <w:r>
        <w:rPr>
          <w:rFonts w:ascii="Arial" w:hAnsi="Arial" w:cs="Arial"/>
          <w:sz w:val="22"/>
          <w:szCs w:val="22"/>
        </w:rPr>
        <w:t>with</w:t>
      </w:r>
      <w:r w:rsidRPr="00BC2423">
        <w:rPr>
          <w:rFonts w:ascii="Arial" w:hAnsi="Arial" w:cs="Arial"/>
          <w:sz w:val="22"/>
          <w:szCs w:val="22"/>
        </w:rPr>
        <w:t xml:space="preserve"> the recruiting cycle a</w:t>
      </w:r>
      <w:r>
        <w:rPr>
          <w:rFonts w:ascii="Arial" w:hAnsi="Arial" w:cs="Arial"/>
          <w:sz w:val="22"/>
          <w:szCs w:val="22"/>
        </w:rPr>
        <w:t>nd continuing beyond graduation,</w:t>
      </w:r>
      <w:r w:rsidRPr="00BC2423">
        <w:rPr>
          <w:rFonts w:ascii="Arial" w:hAnsi="Arial" w:cs="Arial"/>
          <w:sz w:val="22"/>
          <w:szCs w:val="22"/>
        </w:rPr>
        <w:t xml:space="preserve"> </w:t>
      </w:r>
      <w:r w:rsidR="007E57A0" w:rsidRPr="00BC2423">
        <w:rPr>
          <w:rFonts w:ascii="Arial" w:hAnsi="Arial" w:cs="Arial"/>
          <w:sz w:val="22"/>
          <w:szCs w:val="22"/>
        </w:rPr>
        <w:t xml:space="preserve">Montana Tech gathers and analyzes information </w:t>
      </w:r>
      <w:r>
        <w:rPr>
          <w:rFonts w:ascii="Arial" w:hAnsi="Arial" w:cs="Arial"/>
          <w:sz w:val="22"/>
          <w:szCs w:val="22"/>
        </w:rPr>
        <w:t>on</w:t>
      </w:r>
      <w:r w:rsidR="007E57A0" w:rsidRPr="00BC2423">
        <w:rPr>
          <w:rFonts w:ascii="Arial" w:hAnsi="Arial" w:cs="Arial"/>
          <w:sz w:val="22"/>
          <w:szCs w:val="22"/>
        </w:rPr>
        <w:t xml:space="preserve"> individual student needs and </w:t>
      </w:r>
      <w:r>
        <w:rPr>
          <w:rFonts w:ascii="Arial" w:hAnsi="Arial" w:cs="Arial"/>
          <w:sz w:val="22"/>
          <w:szCs w:val="22"/>
        </w:rPr>
        <w:t xml:space="preserve">on </w:t>
      </w:r>
      <w:r w:rsidR="007E57A0" w:rsidRPr="00BC2423">
        <w:rPr>
          <w:rFonts w:ascii="Arial" w:hAnsi="Arial" w:cs="Arial"/>
          <w:sz w:val="22"/>
          <w:szCs w:val="22"/>
        </w:rPr>
        <w:t>demographic trends</w:t>
      </w:r>
      <w:r>
        <w:rPr>
          <w:rFonts w:ascii="Arial" w:hAnsi="Arial" w:cs="Arial"/>
          <w:sz w:val="22"/>
          <w:szCs w:val="22"/>
        </w:rPr>
        <w:t xml:space="preserve">. </w:t>
      </w:r>
      <w:r w:rsidR="007E57A0" w:rsidRPr="00BC2423">
        <w:rPr>
          <w:rFonts w:ascii="Arial" w:hAnsi="Arial" w:cs="Arial"/>
          <w:sz w:val="22"/>
          <w:szCs w:val="22"/>
        </w:rPr>
        <w:t>Every semester, Enrollment Services comp</w:t>
      </w:r>
      <w:r w:rsidR="00370A63">
        <w:rPr>
          <w:rFonts w:ascii="Arial" w:hAnsi="Arial" w:cs="Arial"/>
          <w:sz w:val="22"/>
          <w:szCs w:val="22"/>
        </w:rPr>
        <w:t>il</w:t>
      </w:r>
      <w:r w:rsidR="002D7EF8">
        <w:rPr>
          <w:rFonts w:ascii="Arial" w:hAnsi="Arial" w:cs="Arial"/>
          <w:sz w:val="22"/>
          <w:szCs w:val="22"/>
        </w:rPr>
        <w:t>es and disseminates a</w:t>
      </w:r>
      <w:r w:rsidR="007E57A0" w:rsidRPr="00BC2423">
        <w:rPr>
          <w:rFonts w:ascii="Arial" w:hAnsi="Arial" w:cs="Arial"/>
          <w:sz w:val="22"/>
          <w:szCs w:val="22"/>
        </w:rPr>
        <w:t xml:space="preserve"> 3</w:t>
      </w:r>
      <w:r w:rsidR="007E57A0" w:rsidRPr="00BC2423">
        <w:rPr>
          <w:rFonts w:ascii="Arial" w:hAnsi="Arial" w:cs="Arial"/>
          <w:sz w:val="22"/>
          <w:szCs w:val="22"/>
          <w:vertAlign w:val="superscript"/>
        </w:rPr>
        <w:t>rd</w:t>
      </w:r>
      <w:r w:rsidR="007E57A0" w:rsidRPr="00BC2423">
        <w:rPr>
          <w:rFonts w:ascii="Arial" w:hAnsi="Arial" w:cs="Arial"/>
          <w:sz w:val="22"/>
          <w:szCs w:val="22"/>
        </w:rPr>
        <w:t xml:space="preserve"> Week Enrollment Summary &amp; OCHE (Office of the Commissioner of</w:t>
      </w:r>
      <w:r w:rsidR="00201A07">
        <w:rPr>
          <w:rFonts w:ascii="Arial" w:hAnsi="Arial" w:cs="Arial"/>
          <w:sz w:val="22"/>
          <w:szCs w:val="22"/>
        </w:rPr>
        <w:t xml:space="preserve"> Higher Education) Enrollment</w:t>
      </w:r>
      <w:r w:rsidR="007E57A0" w:rsidRPr="00BC2423">
        <w:rPr>
          <w:rFonts w:ascii="Arial" w:hAnsi="Arial" w:cs="Arial"/>
          <w:sz w:val="22"/>
          <w:szCs w:val="22"/>
        </w:rPr>
        <w:t xml:space="preserve"> Reports</w:t>
      </w:r>
      <w:r w:rsidR="007E57A0">
        <w:rPr>
          <w:rFonts w:ascii="Arial" w:hAnsi="Arial" w:cs="Arial"/>
          <w:sz w:val="22"/>
          <w:szCs w:val="22"/>
        </w:rPr>
        <w:t xml:space="preserve">. </w:t>
      </w:r>
      <w:r w:rsidR="007E57A0" w:rsidRPr="006E20B9">
        <w:rPr>
          <w:rFonts w:ascii="Arial" w:hAnsi="Arial" w:cs="Arial"/>
          <w:sz w:val="22"/>
          <w:szCs w:val="22"/>
        </w:rPr>
        <w:t>(</w:t>
      </w:r>
      <w:r w:rsidRPr="006E20B9">
        <w:rPr>
          <w:rFonts w:ascii="Arial" w:hAnsi="Arial" w:cs="Arial"/>
          <w:sz w:val="22"/>
          <w:szCs w:val="22"/>
        </w:rPr>
        <w:t>See TABLE</w:t>
      </w:r>
      <w:r w:rsidR="007E57A0" w:rsidRPr="006E20B9">
        <w:rPr>
          <w:rFonts w:ascii="Arial" w:hAnsi="Arial" w:cs="Arial"/>
          <w:sz w:val="22"/>
          <w:szCs w:val="22"/>
        </w:rPr>
        <w:t xml:space="preserve"> 3</w:t>
      </w:r>
      <w:r w:rsidR="00A53138" w:rsidRPr="006E20B9">
        <w:rPr>
          <w:rFonts w:ascii="Arial" w:hAnsi="Arial" w:cs="Arial"/>
          <w:sz w:val="22"/>
          <w:szCs w:val="22"/>
        </w:rPr>
        <w:t>.B.I</w:t>
      </w:r>
      <w:r w:rsidR="00BD4C75" w:rsidRPr="006E20B9">
        <w:rPr>
          <w:rFonts w:ascii="Arial" w:hAnsi="Arial" w:cs="Arial"/>
          <w:sz w:val="22"/>
          <w:szCs w:val="22"/>
        </w:rPr>
        <w:t>.</w:t>
      </w:r>
      <w:r w:rsidR="007E57A0" w:rsidRPr="006E20B9">
        <w:rPr>
          <w:rFonts w:ascii="Arial" w:hAnsi="Arial" w:cs="Arial"/>
          <w:sz w:val="22"/>
          <w:szCs w:val="22"/>
        </w:rPr>
        <w:t>)</w:t>
      </w:r>
      <w:r w:rsidR="002B2D48">
        <w:rPr>
          <w:rFonts w:ascii="Arial" w:hAnsi="Arial" w:cs="Arial"/>
          <w:sz w:val="22"/>
          <w:szCs w:val="22"/>
        </w:rPr>
        <w:t xml:space="preserve"> This document reports student</w:t>
      </w:r>
      <w:r w:rsidR="007E57A0" w:rsidRPr="00BC2423">
        <w:rPr>
          <w:rFonts w:ascii="Arial" w:hAnsi="Arial" w:cs="Arial"/>
          <w:sz w:val="22"/>
          <w:szCs w:val="22"/>
        </w:rPr>
        <w:t xml:space="preserve"> characteristics such as: international students, male/female ratios, transfer</w:t>
      </w:r>
      <w:r w:rsidR="002B2D48">
        <w:rPr>
          <w:rFonts w:ascii="Arial" w:hAnsi="Arial" w:cs="Arial"/>
          <w:sz w:val="22"/>
          <w:szCs w:val="22"/>
        </w:rPr>
        <w:t xml:space="preserve"> students</w:t>
      </w:r>
      <w:r w:rsidR="007E57A0" w:rsidRPr="00BC2423">
        <w:rPr>
          <w:rFonts w:ascii="Arial" w:hAnsi="Arial" w:cs="Arial"/>
          <w:sz w:val="22"/>
          <w:szCs w:val="22"/>
        </w:rPr>
        <w:t>, special admit types (</w:t>
      </w:r>
      <w:r w:rsidR="002D7EF8">
        <w:rPr>
          <w:rFonts w:ascii="Arial" w:hAnsi="Arial" w:cs="Arial"/>
          <w:sz w:val="22"/>
          <w:szCs w:val="22"/>
        </w:rPr>
        <w:t>Jump S</w:t>
      </w:r>
      <w:r w:rsidR="002B2D48">
        <w:rPr>
          <w:rFonts w:ascii="Arial" w:hAnsi="Arial" w:cs="Arial"/>
          <w:sz w:val="22"/>
          <w:szCs w:val="22"/>
        </w:rPr>
        <w:t>tart &amp; WUE</w:t>
      </w:r>
      <w:r w:rsidR="007E57A0" w:rsidRPr="00BC2423">
        <w:rPr>
          <w:rFonts w:ascii="Arial" w:hAnsi="Arial" w:cs="Arial"/>
          <w:sz w:val="22"/>
          <w:szCs w:val="22"/>
        </w:rPr>
        <w:t>)</w:t>
      </w:r>
      <w:r w:rsidR="002B2D48">
        <w:rPr>
          <w:rFonts w:ascii="Arial" w:hAnsi="Arial" w:cs="Arial"/>
          <w:sz w:val="22"/>
          <w:szCs w:val="22"/>
        </w:rPr>
        <w:t>,</w:t>
      </w:r>
      <w:r w:rsidR="007E57A0" w:rsidRPr="00BC2423">
        <w:rPr>
          <w:rFonts w:ascii="Arial" w:hAnsi="Arial" w:cs="Arial"/>
          <w:sz w:val="22"/>
          <w:szCs w:val="22"/>
        </w:rPr>
        <w:t xml:space="preserve"> as well as overall headcount and FTE.</w:t>
      </w:r>
      <w:r w:rsidR="002B2D48">
        <w:rPr>
          <w:rFonts w:ascii="Arial" w:hAnsi="Arial" w:cs="Arial"/>
          <w:sz w:val="22"/>
          <w:szCs w:val="22"/>
        </w:rPr>
        <w:t xml:space="preserve">  This data is then used to</w:t>
      </w:r>
      <w:r w:rsidR="007E57A0" w:rsidRPr="00BC2423">
        <w:rPr>
          <w:rFonts w:ascii="Arial" w:hAnsi="Arial" w:cs="Arial"/>
          <w:sz w:val="22"/>
          <w:szCs w:val="22"/>
        </w:rPr>
        <w:t xml:space="preserve"> drive institutional decision making and programming</w:t>
      </w:r>
      <w:r w:rsidR="006E20B9">
        <w:rPr>
          <w:rFonts w:ascii="Arial" w:hAnsi="Arial" w:cs="Arial"/>
          <w:sz w:val="22"/>
          <w:szCs w:val="22"/>
        </w:rPr>
        <w:t>.</w:t>
      </w:r>
    </w:p>
    <w:p w:rsidR="008B0673" w:rsidRDefault="008B0673" w:rsidP="001B4D6A">
      <w:pPr>
        <w:rPr>
          <w:rFonts w:ascii="Arial" w:hAnsi="Arial" w:cs="Arial"/>
          <w:sz w:val="22"/>
          <w:szCs w:val="22"/>
        </w:rPr>
      </w:pPr>
    </w:p>
    <w:p w:rsidR="008B0673" w:rsidRDefault="008B0673" w:rsidP="001B4D6A">
      <w:pPr>
        <w:rPr>
          <w:rFonts w:ascii="Arial" w:hAnsi="Arial" w:cs="Arial"/>
          <w:sz w:val="22"/>
          <w:szCs w:val="22"/>
        </w:rPr>
      </w:pPr>
    </w:p>
    <w:p w:rsidR="008B0673" w:rsidRDefault="008B0673" w:rsidP="001B4D6A">
      <w:pPr>
        <w:jc w:val="center"/>
        <w:rPr>
          <w:rFonts w:ascii="Arial" w:hAnsi="Arial" w:cs="Arial"/>
          <w:b/>
          <w:sz w:val="22"/>
          <w:szCs w:val="22"/>
        </w:rPr>
      </w:pPr>
    </w:p>
    <w:p w:rsidR="001B4D6A" w:rsidRDefault="001B4D6A" w:rsidP="001B4D6A">
      <w:pPr>
        <w:jc w:val="center"/>
        <w:rPr>
          <w:rFonts w:ascii="Arial" w:hAnsi="Arial" w:cs="Arial"/>
          <w:b/>
          <w:sz w:val="22"/>
          <w:szCs w:val="22"/>
        </w:rPr>
      </w:pPr>
    </w:p>
    <w:p w:rsidR="001B4D6A" w:rsidRDefault="001B4D6A" w:rsidP="001B4D6A">
      <w:pPr>
        <w:jc w:val="center"/>
        <w:rPr>
          <w:rFonts w:ascii="Arial" w:hAnsi="Arial" w:cs="Arial"/>
          <w:b/>
          <w:sz w:val="22"/>
          <w:szCs w:val="22"/>
        </w:rPr>
      </w:pPr>
    </w:p>
    <w:p w:rsidR="008B0673" w:rsidRDefault="008B0673" w:rsidP="001B4D6A">
      <w:pPr>
        <w:jc w:val="center"/>
        <w:rPr>
          <w:rFonts w:ascii="Arial" w:hAnsi="Arial" w:cs="Arial"/>
          <w:b/>
          <w:sz w:val="22"/>
          <w:szCs w:val="22"/>
        </w:rPr>
      </w:pPr>
      <w:r>
        <w:rPr>
          <w:rFonts w:ascii="Arial" w:hAnsi="Arial" w:cs="Arial"/>
          <w:b/>
          <w:sz w:val="22"/>
          <w:szCs w:val="22"/>
        </w:rPr>
        <w:lastRenderedPageBreak/>
        <w:t>TABLE 3.B.I ENROLLMENT REPORT</w:t>
      </w:r>
    </w:p>
    <w:p w:rsidR="008B0673" w:rsidRDefault="008B0673" w:rsidP="001B4D6A">
      <w:pPr>
        <w:pStyle w:val="Header"/>
        <w:jc w:val="center"/>
        <w:rPr>
          <w:b/>
          <w:sz w:val="28"/>
          <w:szCs w:val="28"/>
        </w:rPr>
      </w:pPr>
      <w:r w:rsidRPr="00A676EA">
        <w:rPr>
          <w:b/>
          <w:sz w:val="28"/>
          <w:szCs w:val="28"/>
        </w:rPr>
        <w:t>Mon</w:t>
      </w:r>
      <w:r>
        <w:rPr>
          <w:b/>
          <w:sz w:val="28"/>
          <w:szCs w:val="28"/>
        </w:rPr>
        <w:t xml:space="preserve">tana Tech </w:t>
      </w:r>
      <w:r w:rsidRPr="007D6A9F">
        <w:rPr>
          <w:b/>
          <w:sz w:val="28"/>
          <w:szCs w:val="28"/>
        </w:rPr>
        <w:t xml:space="preserve">- Enrollment Services Office- Enrollment Comparison Fall </w:t>
      </w:r>
      <w:r>
        <w:rPr>
          <w:b/>
          <w:sz w:val="28"/>
          <w:szCs w:val="28"/>
        </w:rPr>
        <w:t>2000</w:t>
      </w:r>
      <w:r w:rsidR="00201A07">
        <w:rPr>
          <w:b/>
          <w:sz w:val="28"/>
          <w:szCs w:val="28"/>
        </w:rPr>
        <w:t>-</w:t>
      </w:r>
      <w:r w:rsidRPr="007D6A9F">
        <w:rPr>
          <w:b/>
          <w:sz w:val="28"/>
          <w:szCs w:val="28"/>
        </w:rPr>
        <w:t>2009 Headcount</w:t>
      </w:r>
      <w:r>
        <w:rPr>
          <w:b/>
          <w:sz w:val="28"/>
          <w:szCs w:val="28"/>
        </w:rPr>
        <w:t xml:space="preserve"> and FTE Stats </w:t>
      </w:r>
    </w:p>
    <w:p w:rsidR="008B0673" w:rsidRDefault="008B0673" w:rsidP="001B4D6A">
      <w:pPr>
        <w:pStyle w:val="Header"/>
        <w:jc w:val="center"/>
      </w:pPr>
      <w:r w:rsidRPr="00277064">
        <w:t>End of 3</w:t>
      </w:r>
      <w:r w:rsidRPr="00277064">
        <w:rPr>
          <w:vertAlign w:val="superscript"/>
        </w:rPr>
        <w:t>rd</w:t>
      </w:r>
      <w:r>
        <w:t xml:space="preserve"> Week Fall Semester 2009</w:t>
      </w:r>
    </w:p>
    <w:bookmarkEnd w:id="0"/>
    <w:p w:rsidR="007D6A9F" w:rsidRDefault="008B0673" w:rsidP="001B4D6A">
      <w:pPr>
        <w:pStyle w:val="Header"/>
        <w:jc w:val="center"/>
      </w:pPr>
      <w:r w:rsidRPr="008B0673">
        <w:rPr>
          <w:noProof/>
          <w:lang w:eastAsia="en-US"/>
        </w:rPr>
        <w:drawing>
          <wp:inline distT="0" distB="0" distL="0" distR="0">
            <wp:extent cx="5486400" cy="541339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5486400" cy="5413398"/>
                    </a:xfrm>
                    <a:prstGeom prst="rect">
                      <a:avLst/>
                    </a:prstGeom>
                    <a:noFill/>
                    <a:ln w="9525">
                      <a:noFill/>
                      <a:miter lim="800000"/>
                      <a:headEnd/>
                      <a:tailEnd/>
                    </a:ln>
                  </pic:spPr>
                </pic:pic>
              </a:graphicData>
            </a:graphic>
          </wp:inline>
        </w:drawing>
      </w:r>
    </w:p>
    <w:p w:rsidR="008B0673" w:rsidRDefault="008B0673" w:rsidP="001B4D6A">
      <w:pPr>
        <w:rPr>
          <w:rFonts w:ascii="Arial" w:hAnsi="Arial" w:cs="Arial"/>
          <w:sz w:val="22"/>
          <w:szCs w:val="22"/>
        </w:rPr>
      </w:pPr>
    </w:p>
    <w:p w:rsidR="001152FC" w:rsidRDefault="007D6A9F" w:rsidP="001B4D6A">
      <w:pPr>
        <w:rPr>
          <w:rFonts w:ascii="Arial" w:hAnsi="Arial" w:cs="Arial"/>
          <w:sz w:val="22"/>
          <w:szCs w:val="22"/>
        </w:rPr>
      </w:pPr>
      <w:r w:rsidRPr="00BA2291">
        <w:rPr>
          <w:rFonts w:ascii="Arial" w:hAnsi="Arial" w:cs="Arial"/>
          <w:sz w:val="22"/>
          <w:szCs w:val="22"/>
        </w:rPr>
        <w:t>Both Montana Tech and the Montana Tech</w:t>
      </w:r>
      <w:r w:rsidR="003E1C1C">
        <w:rPr>
          <w:rFonts w:ascii="Arial" w:hAnsi="Arial" w:cs="Arial"/>
          <w:sz w:val="22"/>
          <w:szCs w:val="22"/>
        </w:rPr>
        <w:t>’s</w:t>
      </w:r>
      <w:r w:rsidRPr="00BA2291">
        <w:rPr>
          <w:rFonts w:ascii="Arial" w:hAnsi="Arial" w:cs="Arial"/>
          <w:sz w:val="22"/>
          <w:szCs w:val="22"/>
        </w:rPr>
        <w:t xml:space="preserve"> College of Technology report Integrated Postsecondary Education Data System (IPEDS) surveys to the National Center of Education Statistics (NCES).  Student characteristics identified by these surveys include, but are not limited to: enrollment and degrees conferred by gender, ethnicity, field, and level; first year retention; graduation rates; and financial aid awards</w:t>
      </w:r>
      <w:r w:rsidRPr="0052201C">
        <w:rPr>
          <w:rFonts w:ascii="Arial" w:hAnsi="Arial" w:cs="Arial"/>
          <w:sz w:val="22"/>
          <w:szCs w:val="22"/>
        </w:rPr>
        <w:t>.</w:t>
      </w:r>
      <w:r>
        <w:rPr>
          <w:rFonts w:ascii="Arial" w:hAnsi="Arial" w:cs="Arial"/>
          <w:sz w:val="22"/>
          <w:szCs w:val="22"/>
        </w:rPr>
        <w:t xml:space="preserve">  </w:t>
      </w:r>
      <w:r w:rsidRPr="0052201C">
        <w:rPr>
          <w:rFonts w:ascii="Arial" w:hAnsi="Arial" w:cs="Arial"/>
          <w:sz w:val="22"/>
          <w:szCs w:val="22"/>
        </w:rPr>
        <w:t>Student</w:t>
      </w:r>
      <w:r w:rsidRPr="000A272E">
        <w:rPr>
          <w:rFonts w:ascii="Arial" w:hAnsi="Arial" w:cs="Arial"/>
          <w:sz w:val="22"/>
          <w:szCs w:val="22"/>
        </w:rPr>
        <w:t xml:space="preserve"> characteristics are also identified in data collected from the Free A</w:t>
      </w:r>
      <w:r w:rsidR="008500FD">
        <w:rPr>
          <w:rFonts w:ascii="Arial" w:hAnsi="Arial" w:cs="Arial"/>
          <w:sz w:val="22"/>
          <w:szCs w:val="22"/>
        </w:rPr>
        <w:t>pplication for Federal Student</w:t>
      </w:r>
      <w:r w:rsidRPr="000A272E">
        <w:rPr>
          <w:rFonts w:ascii="Arial" w:hAnsi="Arial" w:cs="Arial"/>
          <w:sz w:val="22"/>
          <w:szCs w:val="22"/>
        </w:rPr>
        <w:t xml:space="preserve"> Aid (FAFSA).</w:t>
      </w:r>
      <w:r>
        <w:rPr>
          <w:rFonts w:ascii="Arial" w:hAnsi="Arial" w:cs="Arial"/>
          <w:sz w:val="22"/>
          <w:szCs w:val="22"/>
        </w:rPr>
        <w:t xml:space="preserve"> All students applying for federal financial aid are required to complete the FAFSA.  Currently, f</w:t>
      </w:r>
      <w:r w:rsidRPr="000A272E">
        <w:rPr>
          <w:rFonts w:ascii="Arial" w:hAnsi="Arial" w:cs="Arial"/>
          <w:sz w:val="22"/>
          <w:szCs w:val="22"/>
        </w:rPr>
        <w:t xml:space="preserve">inancial aid </w:t>
      </w:r>
      <w:r w:rsidRPr="00042FEC">
        <w:rPr>
          <w:rFonts w:ascii="Arial" w:hAnsi="Arial" w:cs="Arial"/>
          <w:sz w:val="22"/>
          <w:szCs w:val="22"/>
        </w:rPr>
        <w:t>processing is incorporated into</w:t>
      </w:r>
      <w:r w:rsidRPr="000A272E">
        <w:rPr>
          <w:rFonts w:ascii="Arial" w:hAnsi="Arial" w:cs="Arial"/>
          <w:sz w:val="22"/>
          <w:szCs w:val="22"/>
        </w:rPr>
        <w:t xml:space="preserve"> the</w:t>
      </w:r>
      <w:r>
        <w:rPr>
          <w:rFonts w:ascii="Arial" w:hAnsi="Arial" w:cs="Arial"/>
          <w:sz w:val="22"/>
          <w:szCs w:val="22"/>
        </w:rPr>
        <w:t xml:space="preserve"> functions of the </w:t>
      </w:r>
      <w:r w:rsidRPr="000A272E">
        <w:rPr>
          <w:rFonts w:ascii="Arial" w:hAnsi="Arial" w:cs="Arial"/>
          <w:sz w:val="22"/>
          <w:szCs w:val="22"/>
        </w:rPr>
        <w:t xml:space="preserve">Enrollment Processing Office. </w:t>
      </w:r>
    </w:p>
    <w:p w:rsidR="00201A07" w:rsidRDefault="00201A07" w:rsidP="001B4D6A">
      <w:pPr>
        <w:rPr>
          <w:rFonts w:ascii="Arial" w:hAnsi="Arial" w:cs="Arial"/>
          <w:sz w:val="22"/>
          <w:szCs w:val="22"/>
        </w:rPr>
      </w:pPr>
    </w:p>
    <w:p w:rsidR="00D2432D" w:rsidRPr="004E522A" w:rsidRDefault="00D2432D" w:rsidP="001B4D6A">
      <w:pPr>
        <w:rPr>
          <w:rFonts w:ascii="Arial" w:hAnsi="Arial" w:cs="Arial"/>
          <w:i/>
          <w:color w:val="0070C0"/>
          <w:sz w:val="22"/>
          <w:szCs w:val="22"/>
        </w:rPr>
      </w:pPr>
      <w:r w:rsidRPr="008F3FE2">
        <w:rPr>
          <w:rFonts w:ascii="Arial" w:hAnsi="Arial" w:cs="Arial"/>
          <w:sz w:val="22"/>
          <w:szCs w:val="22"/>
        </w:rPr>
        <w:t xml:space="preserve">The Academic Standards and </w:t>
      </w:r>
      <w:r w:rsidR="00BA2291">
        <w:rPr>
          <w:rFonts w:ascii="Arial" w:hAnsi="Arial" w:cs="Arial"/>
          <w:sz w:val="22"/>
          <w:szCs w:val="22"/>
        </w:rPr>
        <w:t>the Financial Aid committees hear appeals from</w:t>
      </w:r>
      <w:r w:rsidRPr="008F3FE2">
        <w:rPr>
          <w:rFonts w:ascii="Arial" w:hAnsi="Arial" w:cs="Arial"/>
          <w:sz w:val="22"/>
          <w:szCs w:val="22"/>
        </w:rPr>
        <w:t xml:space="preserve"> students not making satisfactory academic progress.</w:t>
      </w:r>
      <w:r w:rsidRPr="0048739D">
        <w:rPr>
          <w:rFonts w:ascii="Arial" w:hAnsi="Arial" w:cs="Arial"/>
          <w:sz w:val="22"/>
          <w:szCs w:val="22"/>
        </w:rPr>
        <w:t xml:space="preserve">  A student who has been placed on </w:t>
      </w:r>
      <w:r w:rsidR="00201A07">
        <w:rPr>
          <w:rFonts w:ascii="Arial" w:hAnsi="Arial" w:cs="Arial"/>
          <w:sz w:val="22"/>
          <w:szCs w:val="22"/>
        </w:rPr>
        <w:t>a</w:t>
      </w:r>
      <w:r>
        <w:rPr>
          <w:rFonts w:ascii="Arial" w:hAnsi="Arial" w:cs="Arial"/>
          <w:sz w:val="22"/>
          <w:szCs w:val="22"/>
        </w:rPr>
        <w:t xml:space="preserve">cademic </w:t>
      </w:r>
      <w:r>
        <w:rPr>
          <w:rFonts w:ascii="Arial" w:hAnsi="Arial" w:cs="Arial"/>
          <w:sz w:val="22"/>
          <w:szCs w:val="22"/>
        </w:rPr>
        <w:lastRenderedPageBreak/>
        <w:t xml:space="preserve">suspension or </w:t>
      </w:r>
      <w:r w:rsidRPr="0048739D">
        <w:rPr>
          <w:rFonts w:ascii="Arial" w:hAnsi="Arial" w:cs="Arial"/>
          <w:sz w:val="22"/>
          <w:szCs w:val="22"/>
        </w:rPr>
        <w:t>finan</w:t>
      </w:r>
      <w:r w:rsidRPr="000A272E">
        <w:rPr>
          <w:rFonts w:ascii="Arial" w:hAnsi="Arial" w:cs="Arial"/>
          <w:sz w:val="22"/>
          <w:szCs w:val="22"/>
        </w:rPr>
        <w:t>cial aid suspension may submit a written appeal</w:t>
      </w:r>
      <w:r>
        <w:rPr>
          <w:rFonts w:ascii="Arial" w:hAnsi="Arial" w:cs="Arial"/>
          <w:sz w:val="22"/>
          <w:szCs w:val="22"/>
        </w:rPr>
        <w:t>,</w:t>
      </w:r>
      <w:r w:rsidRPr="000A272E">
        <w:rPr>
          <w:rFonts w:ascii="Arial" w:hAnsi="Arial" w:cs="Arial"/>
          <w:sz w:val="22"/>
          <w:szCs w:val="22"/>
        </w:rPr>
        <w:t xml:space="preserve"> with appropriate documentation attached</w:t>
      </w:r>
      <w:r>
        <w:rPr>
          <w:rFonts w:ascii="Arial" w:hAnsi="Arial" w:cs="Arial"/>
          <w:sz w:val="22"/>
          <w:szCs w:val="22"/>
        </w:rPr>
        <w:t>,</w:t>
      </w:r>
      <w:r w:rsidRPr="000A272E">
        <w:rPr>
          <w:rFonts w:ascii="Arial" w:hAnsi="Arial" w:cs="Arial"/>
          <w:sz w:val="22"/>
          <w:szCs w:val="22"/>
        </w:rPr>
        <w:t xml:space="preserve"> </w:t>
      </w:r>
      <w:r w:rsidR="001B5B84">
        <w:rPr>
          <w:rFonts w:ascii="Arial" w:hAnsi="Arial" w:cs="Arial"/>
          <w:sz w:val="22"/>
          <w:szCs w:val="22"/>
        </w:rPr>
        <w:t xml:space="preserve">either </w:t>
      </w:r>
      <w:r w:rsidRPr="000A272E">
        <w:rPr>
          <w:rFonts w:ascii="Arial" w:hAnsi="Arial" w:cs="Arial"/>
          <w:sz w:val="22"/>
          <w:szCs w:val="22"/>
        </w:rPr>
        <w:t xml:space="preserve">to the </w:t>
      </w:r>
      <w:r>
        <w:rPr>
          <w:rFonts w:ascii="Arial" w:hAnsi="Arial" w:cs="Arial"/>
          <w:sz w:val="22"/>
          <w:szCs w:val="22"/>
        </w:rPr>
        <w:t xml:space="preserve">Academic Standards </w:t>
      </w:r>
      <w:r w:rsidR="001B5B84">
        <w:rPr>
          <w:rFonts w:ascii="Arial" w:hAnsi="Arial" w:cs="Arial"/>
          <w:sz w:val="22"/>
          <w:szCs w:val="22"/>
        </w:rPr>
        <w:t xml:space="preserve">Committee </w:t>
      </w:r>
      <w:r>
        <w:rPr>
          <w:rFonts w:ascii="Arial" w:hAnsi="Arial" w:cs="Arial"/>
          <w:sz w:val="22"/>
          <w:szCs w:val="22"/>
        </w:rPr>
        <w:t xml:space="preserve">or </w:t>
      </w:r>
      <w:r w:rsidR="001B5B84">
        <w:rPr>
          <w:rFonts w:ascii="Arial" w:hAnsi="Arial" w:cs="Arial"/>
          <w:sz w:val="22"/>
          <w:szCs w:val="22"/>
        </w:rPr>
        <w:t xml:space="preserve">to </w:t>
      </w:r>
      <w:r>
        <w:rPr>
          <w:rFonts w:ascii="Arial" w:hAnsi="Arial" w:cs="Arial"/>
          <w:sz w:val="22"/>
          <w:szCs w:val="22"/>
        </w:rPr>
        <w:t>the</w:t>
      </w:r>
      <w:r w:rsidR="001B5B84">
        <w:rPr>
          <w:rFonts w:ascii="Arial" w:hAnsi="Arial" w:cs="Arial"/>
          <w:sz w:val="22"/>
          <w:szCs w:val="22"/>
        </w:rPr>
        <w:t xml:space="preserve"> Financial Aid</w:t>
      </w:r>
      <w:r w:rsidRPr="000A272E">
        <w:rPr>
          <w:rFonts w:ascii="Arial" w:hAnsi="Arial" w:cs="Arial"/>
          <w:sz w:val="22"/>
          <w:szCs w:val="22"/>
        </w:rPr>
        <w:t xml:space="preserve"> Committee</w:t>
      </w:r>
      <w:r>
        <w:rPr>
          <w:rFonts w:ascii="Arial" w:hAnsi="Arial" w:cs="Arial"/>
          <w:sz w:val="22"/>
          <w:szCs w:val="22"/>
        </w:rPr>
        <w:t>.  The committee</w:t>
      </w:r>
      <w:r w:rsidRPr="000A272E">
        <w:rPr>
          <w:rFonts w:ascii="Arial" w:hAnsi="Arial" w:cs="Arial"/>
          <w:sz w:val="22"/>
          <w:szCs w:val="22"/>
        </w:rPr>
        <w:t xml:space="preserve"> review</w:t>
      </w:r>
      <w:r w:rsidR="00832426">
        <w:rPr>
          <w:rFonts w:ascii="Arial" w:hAnsi="Arial" w:cs="Arial"/>
          <w:sz w:val="22"/>
          <w:szCs w:val="22"/>
        </w:rPr>
        <w:t>s</w:t>
      </w:r>
      <w:r w:rsidRPr="000A272E">
        <w:rPr>
          <w:rFonts w:ascii="Arial" w:hAnsi="Arial" w:cs="Arial"/>
          <w:sz w:val="22"/>
          <w:szCs w:val="22"/>
        </w:rPr>
        <w:t xml:space="preserve"> the mitigating or unusual circumstances </w:t>
      </w:r>
      <w:r w:rsidR="00832426">
        <w:rPr>
          <w:rFonts w:ascii="Arial" w:hAnsi="Arial" w:cs="Arial"/>
          <w:sz w:val="22"/>
          <w:szCs w:val="22"/>
        </w:rPr>
        <w:t>listed in the appeal, how the student is</w:t>
      </w:r>
      <w:r w:rsidRPr="000A272E">
        <w:rPr>
          <w:rFonts w:ascii="Arial" w:hAnsi="Arial" w:cs="Arial"/>
          <w:sz w:val="22"/>
          <w:szCs w:val="22"/>
        </w:rPr>
        <w:t xml:space="preserve"> making good progress toward earning his/her degree, </w:t>
      </w:r>
      <w:r w:rsidR="00832426">
        <w:rPr>
          <w:rFonts w:ascii="Arial" w:hAnsi="Arial" w:cs="Arial"/>
          <w:sz w:val="22"/>
          <w:szCs w:val="22"/>
        </w:rPr>
        <w:t>any</w:t>
      </w:r>
      <w:r w:rsidRPr="000A272E">
        <w:rPr>
          <w:rFonts w:ascii="Arial" w:hAnsi="Arial" w:cs="Arial"/>
          <w:sz w:val="22"/>
          <w:szCs w:val="22"/>
        </w:rPr>
        <w:t xml:space="preserve"> supporting documentation provided, and the </w:t>
      </w:r>
      <w:r w:rsidRPr="00C21BC4">
        <w:rPr>
          <w:rFonts w:ascii="Arial" w:hAnsi="Arial" w:cs="Arial"/>
          <w:sz w:val="22"/>
          <w:szCs w:val="22"/>
        </w:rPr>
        <w:t xml:space="preserve">student’s entire academic record. </w:t>
      </w:r>
      <w:r w:rsidR="001B4D6A">
        <w:rPr>
          <w:rFonts w:ascii="Arial" w:hAnsi="Arial" w:cs="Arial"/>
          <w:sz w:val="22"/>
          <w:szCs w:val="22"/>
        </w:rPr>
        <w:t xml:space="preserve">The committee then either </w:t>
      </w:r>
      <w:r w:rsidR="001B5B84">
        <w:rPr>
          <w:rFonts w:ascii="Arial" w:hAnsi="Arial" w:cs="Arial"/>
          <w:sz w:val="22"/>
          <w:szCs w:val="22"/>
        </w:rPr>
        <w:t>denies</w:t>
      </w:r>
      <w:r w:rsidR="00832426" w:rsidRPr="00C21BC4">
        <w:rPr>
          <w:rFonts w:ascii="Arial" w:hAnsi="Arial" w:cs="Arial"/>
          <w:sz w:val="22"/>
          <w:szCs w:val="22"/>
        </w:rPr>
        <w:t xml:space="preserve"> </w:t>
      </w:r>
      <w:r w:rsidR="001B4D6A">
        <w:rPr>
          <w:rFonts w:ascii="Arial" w:hAnsi="Arial" w:cs="Arial"/>
          <w:sz w:val="22"/>
          <w:szCs w:val="22"/>
        </w:rPr>
        <w:t xml:space="preserve">or grants </w:t>
      </w:r>
      <w:r w:rsidR="00832426" w:rsidRPr="00C21BC4">
        <w:rPr>
          <w:rFonts w:ascii="Arial" w:hAnsi="Arial" w:cs="Arial"/>
          <w:sz w:val="22"/>
          <w:szCs w:val="22"/>
        </w:rPr>
        <w:t>the appeal</w:t>
      </w:r>
      <w:r w:rsidR="004E522A" w:rsidRPr="00C21BC4">
        <w:rPr>
          <w:rFonts w:ascii="Arial" w:hAnsi="Arial" w:cs="Arial"/>
          <w:sz w:val="22"/>
          <w:szCs w:val="22"/>
        </w:rPr>
        <w:t>.  If the appeal is granted, the committee may impose conditions, such as limiting the number of credits or what classes the student can take.</w:t>
      </w:r>
    </w:p>
    <w:p w:rsidR="00D2432D" w:rsidRDefault="00D2432D" w:rsidP="001B4D6A">
      <w:pPr>
        <w:rPr>
          <w:rFonts w:ascii="Arial" w:hAnsi="Arial" w:cs="Arial"/>
          <w:sz w:val="22"/>
          <w:szCs w:val="22"/>
        </w:rPr>
      </w:pPr>
    </w:p>
    <w:p w:rsidR="008F6256" w:rsidRPr="00376722" w:rsidRDefault="008F6256" w:rsidP="001B4D6A">
      <w:pPr>
        <w:rPr>
          <w:rFonts w:ascii="Arial" w:hAnsi="Arial" w:cs="Arial"/>
          <w:color w:val="0033CC"/>
          <w:sz w:val="22"/>
          <w:szCs w:val="22"/>
        </w:rPr>
      </w:pPr>
      <w:r w:rsidRPr="006E20B9">
        <w:rPr>
          <w:rFonts w:ascii="Arial" w:hAnsi="Arial" w:cs="Arial"/>
          <w:sz w:val="22"/>
          <w:szCs w:val="22"/>
        </w:rPr>
        <w:t>In Fall 2008, the Advising &amp; Retention Committee helped students achieve their educational goals through an enhanced mid-term evaluation process.  After receiving feedback on the process, another reporting date was added.  The new and current mid-term intervention program requires that faculty report early-term (20</w:t>
      </w:r>
      <w:r w:rsidRPr="006E20B9">
        <w:rPr>
          <w:rFonts w:ascii="Arial" w:hAnsi="Arial" w:cs="Arial"/>
          <w:sz w:val="22"/>
          <w:szCs w:val="22"/>
          <w:vertAlign w:val="superscript"/>
        </w:rPr>
        <w:t>th</w:t>
      </w:r>
      <w:r w:rsidRPr="006E20B9">
        <w:rPr>
          <w:rFonts w:ascii="Arial" w:hAnsi="Arial" w:cs="Arial"/>
          <w:sz w:val="22"/>
          <w:szCs w:val="22"/>
        </w:rPr>
        <w:t xml:space="preserve"> day of class) as well as mid-term (40</w:t>
      </w:r>
      <w:r w:rsidRPr="006E20B9">
        <w:rPr>
          <w:rFonts w:ascii="Arial" w:hAnsi="Arial" w:cs="Arial"/>
          <w:sz w:val="22"/>
          <w:szCs w:val="22"/>
          <w:vertAlign w:val="superscript"/>
        </w:rPr>
        <w:t>th</w:t>
      </w:r>
      <w:r w:rsidRPr="006E20B9">
        <w:rPr>
          <w:rFonts w:ascii="Arial" w:hAnsi="Arial" w:cs="Arial"/>
          <w:sz w:val="22"/>
          <w:szCs w:val="22"/>
        </w:rPr>
        <w:t xml:space="preserve"> day of class) grades for students that are either freshmen or </w:t>
      </w:r>
      <w:r w:rsidR="00BE53F4">
        <w:rPr>
          <w:rFonts w:ascii="Arial" w:hAnsi="Arial" w:cs="Arial"/>
          <w:sz w:val="22"/>
          <w:szCs w:val="22"/>
        </w:rPr>
        <w:t>College of Technology (</w:t>
      </w:r>
      <w:r w:rsidRPr="006E20B9">
        <w:rPr>
          <w:rFonts w:ascii="Arial" w:hAnsi="Arial" w:cs="Arial"/>
          <w:sz w:val="22"/>
          <w:szCs w:val="22"/>
        </w:rPr>
        <w:t>COT</w:t>
      </w:r>
      <w:r w:rsidR="00BE53F4">
        <w:rPr>
          <w:rFonts w:ascii="Arial" w:hAnsi="Arial" w:cs="Arial"/>
          <w:sz w:val="22"/>
          <w:szCs w:val="22"/>
        </w:rPr>
        <w:t>)</w:t>
      </w:r>
      <w:r w:rsidR="00572E1A">
        <w:rPr>
          <w:rFonts w:ascii="Arial" w:hAnsi="Arial" w:cs="Arial"/>
          <w:sz w:val="22"/>
          <w:szCs w:val="22"/>
        </w:rPr>
        <w:t xml:space="preserve"> students</w:t>
      </w:r>
      <w:r w:rsidRPr="006E20B9">
        <w:rPr>
          <w:rFonts w:ascii="Arial" w:hAnsi="Arial" w:cs="Arial"/>
          <w:sz w:val="22"/>
          <w:szCs w:val="22"/>
        </w:rPr>
        <w:t>.  Additiona</w:t>
      </w:r>
      <w:r w:rsidR="00572E1A">
        <w:rPr>
          <w:rFonts w:ascii="Arial" w:hAnsi="Arial" w:cs="Arial"/>
          <w:sz w:val="22"/>
          <w:szCs w:val="22"/>
        </w:rPr>
        <w:t>lly, any student taking a first-</w:t>
      </w:r>
      <w:r w:rsidRPr="006E20B9">
        <w:rPr>
          <w:rFonts w:ascii="Arial" w:hAnsi="Arial" w:cs="Arial"/>
          <w:sz w:val="22"/>
          <w:szCs w:val="22"/>
        </w:rPr>
        <w:t>year math or chemistry class will have their grades for that class reported.  After the early-term (20</w:t>
      </w:r>
      <w:r w:rsidRPr="006E20B9">
        <w:rPr>
          <w:rFonts w:ascii="Arial" w:hAnsi="Arial" w:cs="Arial"/>
          <w:sz w:val="22"/>
          <w:szCs w:val="22"/>
          <w:vertAlign w:val="superscript"/>
        </w:rPr>
        <w:t>th</w:t>
      </w:r>
      <w:r w:rsidRPr="006E20B9">
        <w:rPr>
          <w:rFonts w:ascii="Arial" w:hAnsi="Arial" w:cs="Arial"/>
          <w:sz w:val="22"/>
          <w:szCs w:val="22"/>
        </w:rPr>
        <w:t xml:space="preserve"> day) reports are filed, notification is sent to any student who has below a C- in any class notifying them of their status and the resources available to help them improve their grades.  After the mid-term (40</w:t>
      </w:r>
      <w:r w:rsidRPr="006E20B9">
        <w:rPr>
          <w:rFonts w:ascii="Arial" w:hAnsi="Arial" w:cs="Arial"/>
          <w:sz w:val="22"/>
          <w:szCs w:val="22"/>
          <w:vertAlign w:val="superscript"/>
        </w:rPr>
        <w:t>th</w:t>
      </w:r>
      <w:r w:rsidRPr="006E20B9">
        <w:rPr>
          <w:rFonts w:ascii="Arial" w:hAnsi="Arial" w:cs="Arial"/>
          <w:sz w:val="22"/>
          <w:szCs w:val="22"/>
        </w:rPr>
        <w:t xml:space="preserve"> day) reporting, advisors and departmental staff are required to follow-up with advising appointments for any student who has below a C- in any class.</w:t>
      </w:r>
    </w:p>
    <w:p w:rsidR="008F6256" w:rsidRDefault="008F6256" w:rsidP="001B4D6A">
      <w:pPr>
        <w:rPr>
          <w:rFonts w:ascii="Arial" w:hAnsi="Arial" w:cs="Arial"/>
          <w:sz w:val="22"/>
          <w:szCs w:val="22"/>
        </w:rPr>
      </w:pPr>
    </w:p>
    <w:p w:rsidR="0078087A" w:rsidRDefault="00832426" w:rsidP="001B4D6A">
      <w:pPr>
        <w:rPr>
          <w:rFonts w:ascii="Arial" w:hAnsi="Arial"/>
          <w:color w:val="0033CC"/>
          <w:sz w:val="22"/>
          <w:szCs w:val="22"/>
        </w:rPr>
      </w:pPr>
      <w:r>
        <w:rPr>
          <w:rFonts w:ascii="Arial" w:hAnsi="Arial" w:cs="Arial"/>
          <w:sz w:val="22"/>
          <w:szCs w:val="22"/>
        </w:rPr>
        <w:t>S</w:t>
      </w:r>
      <w:r w:rsidR="007E57A0" w:rsidRPr="000A272E">
        <w:rPr>
          <w:rFonts w:ascii="Arial" w:hAnsi="Arial" w:cs="Arial"/>
          <w:sz w:val="22"/>
          <w:szCs w:val="22"/>
        </w:rPr>
        <w:t>tudent</w:t>
      </w:r>
      <w:r w:rsidR="007E57A0">
        <w:rPr>
          <w:rFonts w:ascii="Arial" w:hAnsi="Arial" w:cs="Arial"/>
          <w:sz w:val="22"/>
          <w:szCs w:val="22"/>
        </w:rPr>
        <w:t>s</w:t>
      </w:r>
      <w:r w:rsidR="007E57A0" w:rsidRPr="000A272E">
        <w:rPr>
          <w:rFonts w:ascii="Arial" w:hAnsi="Arial" w:cs="Arial"/>
          <w:sz w:val="22"/>
          <w:szCs w:val="22"/>
        </w:rPr>
        <w:t xml:space="preserve"> </w:t>
      </w:r>
      <w:r w:rsidR="001B5B84">
        <w:rPr>
          <w:rFonts w:ascii="Arial" w:hAnsi="Arial" w:cs="Arial"/>
          <w:sz w:val="22"/>
          <w:szCs w:val="22"/>
        </w:rPr>
        <w:t>who ca</w:t>
      </w:r>
      <w:r w:rsidR="001B5B84" w:rsidRPr="006E20B9">
        <w:rPr>
          <w:rFonts w:ascii="Arial" w:hAnsi="Arial" w:cs="Arial"/>
          <w:sz w:val="22"/>
          <w:szCs w:val="22"/>
        </w:rPr>
        <w:t>n document</w:t>
      </w:r>
      <w:r w:rsidR="007E57A0" w:rsidRPr="006E20B9">
        <w:rPr>
          <w:rFonts w:ascii="Arial" w:hAnsi="Arial" w:cs="Arial"/>
          <w:sz w:val="22"/>
          <w:szCs w:val="22"/>
        </w:rPr>
        <w:t xml:space="preserve"> </w:t>
      </w:r>
      <w:r w:rsidR="007E57A0" w:rsidRPr="006E20B9">
        <w:rPr>
          <w:rFonts w:ascii="Arial" w:hAnsi="Arial" w:cs="Arial"/>
          <w:b/>
          <w:sz w:val="22"/>
          <w:szCs w:val="22"/>
        </w:rPr>
        <w:t>“special needs”</w:t>
      </w:r>
      <w:r w:rsidR="007E57A0" w:rsidRPr="006E20B9">
        <w:rPr>
          <w:rFonts w:ascii="Arial" w:hAnsi="Arial" w:cs="Arial"/>
          <w:sz w:val="22"/>
          <w:szCs w:val="22"/>
        </w:rPr>
        <w:t xml:space="preserve"> are</w:t>
      </w:r>
      <w:r w:rsidR="007E57A0" w:rsidRPr="006E20B9">
        <w:rPr>
          <w:rFonts w:ascii="Arial" w:hAnsi="Arial"/>
          <w:sz w:val="22"/>
          <w:szCs w:val="22"/>
        </w:rPr>
        <w:t xml:space="preserve"> assisted by the Student Life counselors </w:t>
      </w:r>
      <w:r w:rsidR="001B5B84" w:rsidRPr="006E20B9">
        <w:rPr>
          <w:rFonts w:ascii="Arial" w:hAnsi="Arial"/>
          <w:sz w:val="22"/>
          <w:szCs w:val="22"/>
        </w:rPr>
        <w:t>who provide</w:t>
      </w:r>
      <w:r w:rsidR="007E57A0" w:rsidRPr="006E20B9">
        <w:rPr>
          <w:rFonts w:ascii="Arial" w:hAnsi="Arial"/>
          <w:sz w:val="22"/>
          <w:szCs w:val="22"/>
        </w:rPr>
        <w:t xml:space="preserve"> disability services. </w:t>
      </w:r>
      <w:r w:rsidR="00C23C79" w:rsidRPr="006E20B9">
        <w:rPr>
          <w:rFonts w:ascii="Arial" w:hAnsi="Arial"/>
          <w:sz w:val="22"/>
          <w:szCs w:val="22"/>
        </w:rPr>
        <w:t xml:space="preserve">The Disability Services </w:t>
      </w:r>
      <w:r w:rsidR="00042FEC">
        <w:rPr>
          <w:rFonts w:ascii="Arial" w:hAnsi="Arial"/>
          <w:sz w:val="22"/>
          <w:szCs w:val="22"/>
        </w:rPr>
        <w:t>website</w:t>
      </w:r>
      <w:r w:rsidR="00C23C79" w:rsidRPr="006E20B9">
        <w:rPr>
          <w:rFonts w:ascii="Arial" w:hAnsi="Arial"/>
          <w:sz w:val="22"/>
          <w:szCs w:val="22"/>
        </w:rPr>
        <w:t xml:space="preserve"> is </w:t>
      </w:r>
      <w:hyperlink r:id="rId26" w:history="1">
        <w:r w:rsidR="000D3F6A" w:rsidRPr="00BB2F33">
          <w:rPr>
            <w:rStyle w:val="Hyperlink"/>
            <w:rFonts w:ascii="Arial" w:hAnsi="Arial"/>
            <w:i/>
            <w:sz w:val="22"/>
            <w:szCs w:val="22"/>
          </w:rPr>
          <w:t>http://www.mtech.edu/student_life/disability/</w:t>
        </w:r>
      </w:hyperlink>
      <w:r w:rsidR="00EB682F" w:rsidRPr="006E20B9">
        <w:t>.</w:t>
      </w:r>
      <w:r w:rsidR="00EB682F">
        <w:t xml:space="preserve">  </w:t>
      </w:r>
      <w:r w:rsidR="00FA535F" w:rsidRPr="004D3B85">
        <w:rPr>
          <w:rFonts w:ascii="Arial" w:hAnsi="Arial"/>
          <w:sz w:val="22"/>
          <w:szCs w:val="22"/>
        </w:rPr>
        <w:t>Montana Tech is not</w:t>
      </w:r>
      <w:r w:rsidR="00BC3990" w:rsidRPr="004D3B85">
        <w:rPr>
          <w:rFonts w:ascii="Arial" w:hAnsi="Arial"/>
          <w:sz w:val="22"/>
          <w:szCs w:val="22"/>
        </w:rPr>
        <w:t xml:space="preserve"> barrier-f</w:t>
      </w:r>
      <w:r w:rsidR="00FA535F" w:rsidRPr="004D3B85">
        <w:rPr>
          <w:rFonts w:ascii="Arial" w:hAnsi="Arial"/>
          <w:sz w:val="22"/>
          <w:szCs w:val="22"/>
        </w:rPr>
        <w:t>ree</w:t>
      </w:r>
      <w:r w:rsidR="00BC3990" w:rsidRPr="004D3B85">
        <w:rPr>
          <w:rFonts w:ascii="Arial" w:hAnsi="Arial"/>
          <w:sz w:val="22"/>
          <w:szCs w:val="22"/>
        </w:rPr>
        <w:t xml:space="preserve"> and </w:t>
      </w:r>
      <w:r w:rsidR="00FA535F" w:rsidRPr="004D3B85">
        <w:rPr>
          <w:rFonts w:ascii="Arial" w:hAnsi="Arial"/>
          <w:sz w:val="22"/>
          <w:szCs w:val="22"/>
        </w:rPr>
        <w:t xml:space="preserve">special need </w:t>
      </w:r>
      <w:r w:rsidR="00BC3990" w:rsidRPr="004D3B85">
        <w:rPr>
          <w:rFonts w:ascii="Arial" w:hAnsi="Arial"/>
          <w:sz w:val="22"/>
          <w:szCs w:val="22"/>
        </w:rPr>
        <w:t>accommodations are made to move classes to accessible rooms so persons with disabilities have access to facilities.</w:t>
      </w:r>
      <w:r w:rsidR="00FA535F" w:rsidRPr="004D3B85">
        <w:rPr>
          <w:rFonts w:ascii="Arial" w:hAnsi="Arial"/>
          <w:sz w:val="22"/>
          <w:szCs w:val="22"/>
        </w:rPr>
        <w:t xml:space="preserve">  The campus “Access Committee” consisting </w:t>
      </w:r>
      <w:r w:rsidR="00BC3990" w:rsidRPr="004D3B85">
        <w:rPr>
          <w:rFonts w:ascii="Arial" w:hAnsi="Arial"/>
          <w:sz w:val="22"/>
          <w:szCs w:val="22"/>
        </w:rPr>
        <w:t xml:space="preserve">of </w:t>
      </w:r>
      <w:r w:rsidR="00FA535F" w:rsidRPr="004D3B85">
        <w:rPr>
          <w:rFonts w:ascii="Arial" w:hAnsi="Arial"/>
          <w:sz w:val="22"/>
          <w:szCs w:val="22"/>
        </w:rPr>
        <w:t>students, faculty</w:t>
      </w:r>
      <w:r w:rsidR="00BC3990" w:rsidRPr="004D3B85">
        <w:rPr>
          <w:rFonts w:ascii="Arial" w:hAnsi="Arial"/>
          <w:sz w:val="22"/>
          <w:szCs w:val="22"/>
        </w:rPr>
        <w:t>, and staff advises the Chancellor on matters related to access.</w:t>
      </w:r>
      <w:r w:rsidR="0078087A">
        <w:rPr>
          <w:rFonts w:ascii="Arial" w:hAnsi="Arial"/>
          <w:color w:val="0033CC"/>
          <w:sz w:val="22"/>
          <w:szCs w:val="22"/>
        </w:rPr>
        <w:t xml:space="preserve">  </w:t>
      </w:r>
    </w:p>
    <w:p w:rsidR="0078087A" w:rsidRDefault="0078087A" w:rsidP="001B4D6A">
      <w:pPr>
        <w:rPr>
          <w:rFonts w:ascii="Arial" w:hAnsi="Arial"/>
          <w:color w:val="0033CC"/>
          <w:sz w:val="22"/>
          <w:szCs w:val="22"/>
        </w:rPr>
      </w:pPr>
    </w:p>
    <w:p w:rsidR="007E57A0" w:rsidRPr="008F6256" w:rsidRDefault="00FD2DA4" w:rsidP="001B4D6A">
      <w:pPr>
        <w:rPr>
          <w:rFonts w:ascii="Arial" w:hAnsi="Arial"/>
          <w:sz w:val="22"/>
          <w:szCs w:val="22"/>
        </w:rPr>
      </w:pPr>
      <w:r>
        <w:rPr>
          <w:rFonts w:ascii="Arial" w:hAnsi="Arial"/>
          <w:sz w:val="22"/>
          <w:szCs w:val="22"/>
        </w:rPr>
        <w:t>S</w:t>
      </w:r>
      <w:r w:rsidR="001B5B84">
        <w:rPr>
          <w:rFonts w:ascii="Arial" w:hAnsi="Arial"/>
          <w:sz w:val="22"/>
          <w:szCs w:val="22"/>
        </w:rPr>
        <w:t xml:space="preserve">pecial need accommodations </w:t>
      </w:r>
      <w:r w:rsidR="00FA535F">
        <w:rPr>
          <w:rFonts w:ascii="Arial" w:hAnsi="Arial"/>
          <w:sz w:val="22"/>
          <w:szCs w:val="22"/>
        </w:rPr>
        <w:t xml:space="preserve">also </w:t>
      </w:r>
      <w:r w:rsidR="001B5B84">
        <w:rPr>
          <w:rFonts w:ascii="Arial" w:hAnsi="Arial"/>
          <w:sz w:val="22"/>
          <w:szCs w:val="22"/>
        </w:rPr>
        <w:t>include</w:t>
      </w:r>
      <w:r w:rsidR="007E57A0" w:rsidRPr="00621873">
        <w:rPr>
          <w:rFonts w:ascii="Arial" w:hAnsi="Arial"/>
          <w:sz w:val="22"/>
          <w:szCs w:val="22"/>
        </w:rPr>
        <w:t xml:space="preserve"> working with the faculty </w:t>
      </w:r>
      <w:r w:rsidR="001B5B84">
        <w:rPr>
          <w:rFonts w:ascii="Arial" w:hAnsi="Arial"/>
          <w:sz w:val="22"/>
          <w:szCs w:val="22"/>
        </w:rPr>
        <w:t>on</w:t>
      </w:r>
      <w:r w:rsidR="007E57A0" w:rsidRPr="00621873">
        <w:rPr>
          <w:rFonts w:ascii="Arial" w:hAnsi="Arial"/>
          <w:sz w:val="22"/>
          <w:szCs w:val="22"/>
        </w:rPr>
        <w:t xml:space="preserve"> extended time for exams, note takers, </w:t>
      </w:r>
      <w:r w:rsidR="001B5B84">
        <w:rPr>
          <w:rFonts w:ascii="Arial" w:hAnsi="Arial"/>
          <w:sz w:val="22"/>
          <w:szCs w:val="22"/>
        </w:rPr>
        <w:t xml:space="preserve">on </w:t>
      </w:r>
      <w:r w:rsidR="007E57A0" w:rsidRPr="00621873">
        <w:rPr>
          <w:rFonts w:ascii="Arial" w:hAnsi="Arial"/>
          <w:sz w:val="22"/>
          <w:szCs w:val="22"/>
        </w:rPr>
        <w:t>Video Remote Interpreting (VRI) for deaf students</w:t>
      </w:r>
      <w:r w:rsidR="001B5B84">
        <w:rPr>
          <w:rFonts w:ascii="Arial" w:hAnsi="Arial"/>
          <w:sz w:val="22"/>
          <w:szCs w:val="22"/>
        </w:rPr>
        <w:t>,</w:t>
      </w:r>
      <w:r w:rsidR="007E57A0" w:rsidRPr="00621873">
        <w:rPr>
          <w:rFonts w:ascii="Arial" w:hAnsi="Arial"/>
          <w:sz w:val="22"/>
          <w:szCs w:val="22"/>
        </w:rPr>
        <w:t xml:space="preserve"> and </w:t>
      </w:r>
      <w:r w:rsidR="001B5B84">
        <w:rPr>
          <w:rFonts w:ascii="Arial" w:hAnsi="Arial"/>
          <w:sz w:val="22"/>
          <w:szCs w:val="22"/>
        </w:rPr>
        <w:t xml:space="preserve">on </w:t>
      </w:r>
      <w:r w:rsidR="007E57A0" w:rsidRPr="00621873">
        <w:rPr>
          <w:rFonts w:ascii="Arial" w:hAnsi="Arial"/>
          <w:sz w:val="22"/>
          <w:szCs w:val="22"/>
        </w:rPr>
        <w:t xml:space="preserve">large computer video monitors for low vision students. </w:t>
      </w:r>
      <w:r w:rsidR="001B5B84">
        <w:rPr>
          <w:rFonts w:ascii="Arial" w:hAnsi="Arial"/>
          <w:sz w:val="22"/>
          <w:szCs w:val="22"/>
        </w:rPr>
        <w:t>For example, in</w:t>
      </w:r>
      <w:r w:rsidR="002D7EF8">
        <w:rPr>
          <w:rFonts w:ascii="Arial" w:hAnsi="Arial"/>
          <w:sz w:val="22"/>
          <w:szCs w:val="22"/>
        </w:rPr>
        <w:t xml:space="preserve"> </w:t>
      </w:r>
      <w:r w:rsidR="007E57A0" w:rsidRPr="00621873">
        <w:rPr>
          <w:rFonts w:ascii="Arial" w:hAnsi="Arial"/>
          <w:sz w:val="22"/>
          <w:szCs w:val="22"/>
        </w:rPr>
        <w:t>Spring</w:t>
      </w:r>
      <w:r w:rsidR="001B5B84">
        <w:rPr>
          <w:rFonts w:ascii="Arial" w:hAnsi="Arial"/>
          <w:sz w:val="22"/>
          <w:szCs w:val="22"/>
        </w:rPr>
        <w:t xml:space="preserve"> </w:t>
      </w:r>
      <w:r w:rsidR="007E57A0">
        <w:rPr>
          <w:rFonts w:ascii="Arial" w:hAnsi="Arial"/>
          <w:sz w:val="22"/>
          <w:szCs w:val="22"/>
        </w:rPr>
        <w:t xml:space="preserve">2006, Montana Tech was the first institution in the state to use VRI to provide live interpreter accommodations to two deaf students, one on each </w:t>
      </w:r>
      <w:r w:rsidR="007E57A0" w:rsidRPr="00FD2DA4">
        <w:rPr>
          <w:rFonts w:ascii="Arial" w:hAnsi="Arial"/>
          <w:sz w:val="22"/>
          <w:szCs w:val="22"/>
        </w:rPr>
        <w:t xml:space="preserve">campus. </w:t>
      </w:r>
      <w:r w:rsidR="00E9540F" w:rsidRPr="00FD2DA4">
        <w:rPr>
          <w:rFonts w:ascii="Arial" w:hAnsi="Arial"/>
          <w:sz w:val="22"/>
          <w:szCs w:val="22"/>
        </w:rPr>
        <w:t xml:space="preserve">Below </w:t>
      </w:r>
      <w:r w:rsidR="00135239" w:rsidRPr="00FD2DA4">
        <w:rPr>
          <w:rFonts w:ascii="Arial" w:hAnsi="Arial"/>
          <w:sz w:val="22"/>
          <w:szCs w:val="22"/>
        </w:rPr>
        <w:t>is a specific example of that</w:t>
      </w:r>
      <w:r w:rsidR="00AB47E9" w:rsidRPr="00FD2DA4">
        <w:rPr>
          <w:rFonts w:ascii="Arial" w:hAnsi="Arial"/>
          <w:sz w:val="22"/>
          <w:szCs w:val="22"/>
        </w:rPr>
        <w:t xml:space="preserve"> special need</w:t>
      </w:r>
      <w:r w:rsidR="00135239" w:rsidRPr="00FD2DA4">
        <w:rPr>
          <w:rFonts w:ascii="Arial" w:hAnsi="Arial"/>
          <w:sz w:val="22"/>
          <w:szCs w:val="22"/>
        </w:rPr>
        <w:t>s</w:t>
      </w:r>
      <w:r w:rsidR="00AB47E9" w:rsidRPr="00FD2DA4">
        <w:rPr>
          <w:rFonts w:ascii="Arial" w:hAnsi="Arial"/>
          <w:sz w:val="22"/>
          <w:szCs w:val="22"/>
        </w:rPr>
        <w:t xml:space="preserve"> accommodation, a joint effort with </w:t>
      </w:r>
      <w:r w:rsidR="008F6256" w:rsidRPr="00FD2DA4">
        <w:rPr>
          <w:rFonts w:ascii="Arial" w:hAnsi="Arial"/>
          <w:sz w:val="22"/>
          <w:szCs w:val="22"/>
        </w:rPr>
        <w:t xml:space="preserve">the </w:t>
      </w:r>
      <w:r w:rsidR="00AB47E9" w:rsidRPr="00FD2DA4">
        <w:rPr>
          <w:rFonts w:ascii="Arial" w:hAnsi="Arial"/>
          <w:sz w:val="22"/>
          <w:szCs w:val="22"/>
        </w:rPr>
        <w:t xml:space="preserve">Information Technology </w:t>
      </w:r>
      <w:r w:rsidR="008F6256" w:rsidRPr="00FD2DA4">
        <w:rPr>
          <w:rFonts w:ascii="Arial" w:hAnsi="Arial"/>
          <w:sz w:val="22"/>
          <w:szCs w:val="22"/>
        </w:rPr>
        <w:t>Department,</w:t>
      </w:r>
      <w:r w:rsidR="00AB47E9" w:rsidRPr="00FD2DA4">
        <w:rPr>
          <w:rFonts w:ascii="Arial" w:hAnsi="Arial"/>
          <w:sz w:val="22"/>
          <w:szCs w:val="22"/>
        </w:rPr>
        <w:t xml:space="preserve"> </w:t>
      </w:r>
      <w:r w:rsidR="00FA3620" w:rsidRPr="00FD2DA4">
        <w:rPr>
          <w:rFonts w:ascii="Arial" w:hAnsi="Arial"/>
          <w:sz w:val="22"/>
          <w:szCs w:val="22"/>
        </w:rPr>
        <w:t xml:space="preserve">also referenced </w:t>
      </w:r>
      <w:r w:rsidR="00AB47E9" w:rsidRPr="00FD2DA4">
        <w:rPr>
          <w:rFonts w:ascii="Arial" w:hAnsi="Arial"/>
          <w:sz w:val="22"/>
          <w:szCs w:val="22"/>
        </w:rPr>
        <w:t xml:space="preserve">in the </w:t>
      </w:r>
      <w:r w:rsidR="00E9540F" w:rsidRPr="00FD2DA4">
        <w:rPr>
          <w:rFonts w:ascii="Arial" w:hAnsi="Arial"/>
          <w:sz w:val="22"/>
          <w:szCs w:val="22"/>
        </w:rPr>
        <w:t>Information Technology section</w:t>
      </w:r>
      <w:r w:rsidR="008F6256" w:rsidRPr="00FD2DA4">
        <w:rPr>
          <w:rFonts w:ascii="Arial" w:hAnsi="Arial"/>
          <w:sz w:val="22"/>
          <w:szCs w:val="22"/>
        </w:rPr>
        <w:t>, Standard 5.B.2</w:t>
      </w:r>
      <w:r w:rsidR="00AB47E9" w:rsidRPr="00FD2DA4">
        <w:rPr>
          <w:rFonts w:ascii="Arial" w:hAnsi="Arial"/>
          <w:sz w:val="22"/>
          <w:szCs w:val="22"/>
        </w:rPr>
        <w:t>.</w:t>
      </w:r>
      <w:r w:rsidR="00FA3620" w:rsidRPr="00FD2DA4">
        <w:rPr>
          <w:rFonts w:ascii="Arial" w:hAnsi="Arial"/>
          <w:sz w:val="22"/>
          <w:szCs w:val="22"/>
        </w:rPr>
        <w:t>IT.</w:t>
      </w:r>
    </w:p>
    <w:p w:rsidR="00E9540F" w:rsidRDefault="00E21B15" w:rsidP="001B4D6A">
      <w:pPr>
        <w:rPr>
          <w:rFonts w:ascii="Arial" w:hAnsi="Arial"/>
          <w:sz w:val="22"/>
          <w:szCs w:val="22"/>
        </w:rPr>
      </w:pPr>
      <w:r w:rsidRPr="00E21B15">
        <w:rPr>
          <w:highlight w:val="lightGray"/>
        </w:rPr>
        <w:pict>
          <v:roundrect id="_x0000_s1046" style="position:absolute;margin-left:-12pt;margin-top:8.75pt;width:494.55pt;height:206.9pt;z-index:-251593216" arcsize="10923f" fillcolor="#bfbfbf">
            <v:fill opacity="19661f"/>
          </v:roundrect>
        </w:pict>
      </w:r>
    </w:p>
    <w:p w:rsidR="00AB47E9" w:rsidRDefault="00E9540F" w:rsidP="001B4D6A">
      <w:pPr>
        <w:jc w:val="center"/>
        <w:rPr>
          <w:rFonts w:ascii="Arial" w:hAnsi="Arial" w:cs="Arial"/>
          <w:b/>
          <w:bCs/>
          <w:sz w:val="22"/>
          <w:szCs w:val="22"/>
        </w:rPr>
      </w:pPr>
      <w:r>
        <w:rPr>
          <w:rFonts w:ascii="Arial" w:hAnsi="Arial" w:cs="Arial"/>
          <w:b/>
          <w:bCs/>
          <w:sz w:val="22"/>
          <w:szCs w:val="22"/>
        </w:rPr>
        <w:t>Closing the Loop</w:t>
      </w:r>
    </w:p>
    <w:p w:rsidR="00E9540F" w:rsidRDefault="00AB47E9" w:rsidP="001B4D6A">
      <w:pPr>
        <w:jc w:val="center"/>
        <w:rPr>
          <w:rFonts w:ascii="Arial" w:hAnsi="Arial" w:cs="Arial"/>
          <w:b/>
          <w:bCs/>
          <w:sz w:val="22"/>
          <w:szCs w:val="22"/>
        </w:rPr>
      </w:pPr>
      <w:r>
        <w:rPr>
          <w:rFonts w:ascii="Arial" w:hAnsi="Arial" w:cs="Arial"/>
          <w:b/>
          <w:bCs/>
          <w:sz w:val="22"/>
          <w:szCs w:val="22"/>
        </w:rPr>
        <w:t xml:space="preserve">Special Need Accommodations  </w:t>
      </w:r>
    </w:p>
    <w:p w:rsidR="00AB47E9" w:rsidRDefault="00AB47E9" w:rsidP="001B4D6A">
      <w:pPr>
        <w:rPr>
          <w:rFonts w:ascii="Arial" w:hAnsi="Arial" w:cs="Arial"/>
          <w:sz w:val="22"/>
          <w:szCs w:val="22"/>
        </w:rPr>
      </w:pPr>
    </w:p>
    <w:p w:rsidR="00E9540F" w:rsidRPr="00FA535F" w:rsidRDefault="00E9540F" w:rsidP="001B4D6A">
      <w:pPr>
        <w:rPr>
          <w:rFonts w:ascii="Arial" w:hAnsi="Arial" w:cs="Arial"/>
          <w:color w:val="FF0000"/>
          <w:sz w:val="20"/>
          <w:szCs w:val="20"/>
        </w:rPr>
      </w:pPr>
      <w:r w:rsidRPr="00FA535F">
        <w:rPr>
          <w:rFonts w:ascii="Arial" w:hAnsi="Arial" w:cs="Arial"/>
          <w:sz w:val="20"/>
          <w:szCs w:val="20"/>
        </w:rPr>
        <w:t>Video Rem</w:t>
      </w:r>
      <w:r w:rsidR="000D3F6A" w:rsidRPr="00FA535F">
        <w:rPr>
          <w:rFonts w:ascii="Arial" w:hAnsi="Arial" w:cs="Arial"/>
          <w:sz w:val="20"/>
          <w:szCs w:val="20"/>
        </w:rPr>
        <w:t>ote Interpreting (VRI) Services</w:t>
      </w:r>
      <w:r w:rsidRPr="00FA535F">
        <w:rPr>
          <w:rFonts w:ascii="Arial" w:hAnsi="Arial" w:cs="Arial"/>
          <w:sz w:val="20"/>
          <w:szCs w:val="20"/>
        </w:rPr>
        <w:t xml:space="preserve"> provided to Montana Tech’s hearing-impaired students. Via an internet video link, a video interpreting service provider (SignOn) is accessed in Seattle. This eliminates the need for an in-person interpreter on site.  A wireless microphone is attached to Montana Tech’s instructor whose audio is received by the remote interpreter. Then the signed interpretation video is sent back to the hearing impaired student’s notebook computer.  Interaction with the instructor and student is through a webcam attached to the student’s notebook computer.  To communicate with the instructor, the student signs via video-communication to the remote interpreter.  The interpreter then voices the translation back to the instructor and class.</w:t>
      </w:r>
      <w:r w:rsidRPr="00FA535F">
        <w:rPr>
          <w:rFonts w:ascii="Arial" w:hAnsi="Arial" w:cs="Arial"/>
          <w:color w:val="FF0000"/>
          <w:sz w:val="20"/>
          <w:szCs w:val="20"/>
        </w:rPr>
        <w:t xml:space="preserve"> </w:t>
      </w:r>
    </w:p>
    <w:p w:rsidR="00E9540F" w:rsidRPr="00FA535F" w:rsidRDefault="00E9540F" w:rsidP="001B4D6A">
      <w:pPr>
        <w:rPr>
          <w:rFonts w:ascii="Arial" w:hAnsi="Arial" w:cs="Arial"/>
          <w:sz w:val="20"/>
          <w:szCs w:val="20"/>
        </w:rPr>
      </w:pPr>
    </w:p>
    <w:p w:rsidR="00E9540F" w:rsidRPr="00FA535F" w:rsidRDefault="00E9540F" w:rsidP="001B4D6A">
      <w:pPr>
        <w:rPr>
          <w:rFonts w:ascii="Arial" w:hAnsi="Arial" w:cs="Arial"/>
          <w:sz w:val="20"/>
          <w:szCs w:val="20"/>
        </w:rPr>
      </w:pPr>
      <w:r w:rsidRPr="00FA535F">
        <w:rPr>
          <w:rFonts w:ascii="Arial" w:hAnsi="Arial" w:cs="Arial"/>
          <w:sz w:val="20"/>
          <w:szCs w:val="20"/>
        </w:rPr>
        <w:t xml:space="preserve">Network Services worked to lighten the weight of the equipment by eliminating active devices and provisioning wireless connectivity through a privately secured band. This allows the hearing impaired students freedom to locate as desired in the classroom without having to plug into a wired network port.  </w:t>
      </w:r>
    </w:p>
    <w:p w:rsidR="001152FC" w:rsidRDefault="001152FC" w:rsidP="001B4D6A">
      <w:pPr>
        <w:rPr>
          <w:rFonts w:ascii="Arial" w:hAnsi="Arial" w:cs="Arial"/>
          <w:sz w:val="22"/>
          <w:szCs w:val="22"/>
        </w:rPr>
      </w:pPr>
    </w:p>
    <w:p w:rsidR="00FD2DA4" w:rsidRDefault="00FD2DA4" w:rsidP="001B4D6A">
      <w:pPr>
        <w:rPr>
          <w:rFonts w:ascii="Arial" w:hAnsi="Arial"/>
          <w:sz w:val="22"/>
          <w:szCs w:val="22"/>
        </w:rPr>
      </w:pPr>
    </w:p>
    <w:p w:rsidR="00FD2DA4" w:rsidRDefault="00FD2DA4" w:rsidP="001B4D6A">
      <w:pPr>
        <w:rPr>
          <w:rFonts w:ascii="Arial" w:hAnsi="Arial" w:cs="Arial"/>
          <w:sz w:val="22"/>
          <w:szCs w:val="22"/>
        </w:rPr>
      </w:pPr>
    </w:p>
    <w:p w:rsidR="00B416D0" w:rsidRPr="00621873" w:rsidRDefault="00347DED" w:rsidP="001B4D6A">
      <w:pPr>
        <w:rPr>
          <w:rFonts w:ascii="Arial" w:hAnsi="Arial" w:cs="Arial"/>
          <w:sz w:val="22"/>
          <w:szCs w:val="22"/>
        </w:rPr>
      </w:pPr>
      <w:r>
        <w:rPr>
          <w:rFonts w:ascii="Arial" w:hAnsi="Arial" w:cs="Arial"/>
          <w:sz w:val="22"/>
          <w:szCs w:val="22"/>
        </w:rPr>
        <w:t>E</w:t>
      </w:r>
      <w:r w:rsidR="007E57A0" w:rsidRPr="000A272E">
        <w:rPr>
          <w:rFonts w:ascii="Arial" w:hAnsi="Arial" w:cs="Arial"/>
          <w:sz w:val="22"/>
          <w:szCs w:val="22"/>
        </w:rPr>
        <w:t xml:space="preserve">ducational needs are identified during the recruiting and admissions process.  ACT/SAT </w:t>
      </w:r>
      <w:r w:rsidR="007E57A0" w:rsidRPr="00C21BC4">
        <w:rPr>
          <w:rFonts w:ascii="Arial" w:hAnsi="Arial" w:cs="Arial"/>
          <w:sz w:val="22"/>
          <w:szCs w:val="22"/>
        </w:rPr>
        <w:t>scores, high school GPA, Compass assessment</w:t>
      </w:r>
      <w:r w:rsidR="00E942F2" w:rsidRPr="00C21BC4">
        <w:rPr>
          <w:rFonts w:ascii="Arial" w:hAnsi="Arial" w:cs="Arial"/>
          <w:sz w:val="22"/>
          <w:szCs w:val="22"/>
        </w:rPr>
        <w:t xml:space="preserve"> (instrument used to assess placement of students in appropriate math and writing classes)</w:t>
      </w:r>
      <w:r w:rsidR="007E57A0" w:rsidRPr="00C21BC4">
        <w:rPr>
          <w:rFonts w:ascii="Arial" w:hAnsi="Arial" w:cs="Arial"/>
          <w:sz w:val="22"/>
          <w:szCs w:val="22"/>
        </w:rPr>
        <w:t>,</w:t>
      </w:r>
      <w:r w:rsidR="007E57A0">
        <w:rPr>
          <w:rFonts w:ascii="Arial" w:hAnsi="Arial" w:cs="Arial"/>
          <w:sz w:val="22"/>
          <w:szCs w:val="22"/>
        </w:rPr>
        <w:t xml:space="preserve"> and </w:t>
      </w:r>
      <w:r w:rsidR="007E57A0" w:rsidRPr="000A272E">
        <w:rPr>
          <w:rFonts w:ascii="Arial" w:hAnsi="Arial" w:cs="Arial"/>
          <w:sz w:val="22"/>
          <w:szCs w:val="22"/>
        </w:rPr>
        <w:t xml:space="preserve">high school courses are all </w:t>
      </w:r>
      <w:r w:rsidR="000D3F6A">
        <w:rPr>
          <w:rFonts w:ascii="Arial" w:hAnsi="Arial" w:cs="Arial"/>
          <w:sz w:val="22"/>
          <w:szCs w:val="22"/>
        </w:rPr>
        <w:t>used to help students enroll in</w:t>
      </w:r>
      <w:r>
        <w:rPr>
          <w:rFonts w:ascii="Arial" w:hAnsi="Arial" w:cs="Arial"/>
          <w:sz w:val="22"/>
          <w:szCs w:val="22"/>
        </w:rPr>
        <w:t xml:space="preserve"> </w:t>
      </w:r>
      <w:r w:rsidR="007E57A0" w:rsidRPr="000A272E">
        <w:rPr>
          <w:rFonts w:ascii="Arial" w:hAnsi="Arial" w:cs="Arial"/>
          <w:sz w:val="22"/>
          <w:szCs w:val="22"/>
        </w:rPr>
        <w:t xml:space="preserve">programs and courses that best fit their </w:t>
      </w:r>
      <w:r>
        <w:rPr>
          <w:rFonts w:ascii="Arial" w:hAnsi="Arial" w:cs="Arial"/>
          <w:sz w:val="22"/>
          <w:szCs w:val="22"/>
        </w:rPr>
        <w:t xml:space="preserve">level </w:t>
      </w:r>
      <w:r w:rsidR="003E1C1C">
        <w:rPr>
          <w:rFonts w:ascii="Arial" w:hAnsi="Arial" w:cs="Arial"/>
          <w:sz w:val="22"/>
          <w:szCs w:val="22"/>
        </w:rPr>
        <w:t xml:space="preserve">of </w:t>
      </w:r>
      <w:r w:rsidR="007E57A0" w:rsidRPr="000A272E">
        <w:rPr>
          <w:rFonts w:ascii="Arial" w:hAnsi="Arial" w:cs="Arial"/>
          <w:sz w:val="22"/>
          <w:szCs w:val="22"/>
        </w:rPr>
        <w:t>preparedness.</w:t>
      </w:r>
      <w:r w:rsidR="007E57A0">
        <w:rPr>
          <w:rFonts w:ascii="Arial" w:hAnsi="Arial" w:cs="Arial"/>
          <w:sz w:val="22"/>
          <w:szCs w:val="22"/>
        </w:rPr>
        <w:t xml:space="preserve"> </w:t>
      </w:r>
    </w:p>
    <w:p w:rsidR="005A466F" w:rsidRDefault="005A466F" w:rsidP="001B4D6A">
      <w:pPr>
        <w:rPr>
          <w:rFonts w:ascii="Arial" w:hAnsi="Arial" w:cs="Arial"/>
          <w:sz w:val="22"/>
          <w:szCs w:val="22"/>
          <w:highlight w:val="lightGray"/>
        </w:rPr>
      </w:pPr>
    </w:p>
    <w:p w:rsidR="005A466F" w:rsidRDefault="005A466F" w:rsidP="001B4D6A">
      <w:pPr>
        <w:rPr>
          <w:rFonts w:ascii="Arial" w:hAnsi="Arial" w:cs="Arial"/>
          <w:b/>
          <w:sz w:val="20"/>
          <w:szCs w:val="20"/>
        </w:rPr>
      </w:pPr>
      <w:r w:rsidRPr="0002671C">
        <w:rPr>
          <w:rFonts w:ascii="Arial" w:hAnsi="Arial" w:cs="Arial"/>
          <w:sz w:val="22"/>
          <w:szCs w:val="22"/>
        </w:rPr>
        <w:t>Once enrolled, the Enrollment Processing Office monitors satisfactory academic progress to determine if individual students are making timely progress on a degree.</w:t>
      </w:r>
      <w:r>
        <w:rPr>
          <w:rFonts w:ascii="Arial" w:hAnsi="Arial" w:cs="Arial"/>
          <w:sz w:val="22"/>
          <w:szCs w:val="22"/>
        </w:rPr>
        <w:t xml:space="preserve">  </w:t>
      </w:r>
      <w:r w:rsidR="00347DED">
        <w:rPr>
          <w:rFonts w:ascii="Arial" w:hAnsi="Arial" w:cs="Arial"/>
          <w:sz w:val="22"/>
          <w:szCs w:val="22"/>
        </w:rPr>
        <w:t>Student trends are monitored</w:t>
      </w:r>
      <w:r w:rsidR="007E57A0" w:rsidRPr="000A272E">
        <w:rPr>
          <w:rFonts w:ascii="Arial" w:hAnsi="Arial" w:cs="Arial"/>
          <w:sz w:val="22"/>
          <w:szCs w:val="22"/>
        </w:rPr>
        <w:t xml:space="preserve"> and </w:t>
      </w:r>
      <w:r w:rsidR="000D3F6A">
        <w:rPr>
          <w:rFonts w:ascii="Arial" w:hAnsi="Arial" w:cs="Arial"/>
          <w:sz w:val="22"/>
          <w:szCs w:val="22"/>
        </w:rPr>
        <w:t>then this</w:t>
      </w:r>
      <w:r w:rsidR="00414318">
        <w:rPr>
          <w:rFonts w:ascii="Arial" w:hAnsi="Arial" w:cs="Arial"/>
          <w:sz w:val="22"/>
          <w:szCs w:val="22"/>
        </w:rPr>
        <w:t xml:space="preserve"> data drive</w:t>
      </w:r>
      <w:r w:rsidR="000D3F6A">
        <w:rPr>
          <w:rFonts w:ascii="Arial" w:hAnsi="Arial" w:cs="Arial"/>
          <w:sz w:val="22"/>
          <w:szCs w:val="22"/>
        </w:rPr>
        <w:t>s</w:t>
      </w:r>
      <w:r w:rsidR="00414318">
        <w:rPr>
          <w:rFonts w:ascii="Arial" w:hAnsi="Arial" w:cs="Arial"/>
          <w:sz w:val="22"/>
          <w:szCs w:val="22"/>
        </w:rPr>
        <w:t xml:space="preserve"> appropriate</w:t>
      </w:r>
      <w:r w:rsidR="007E57A0" w:rsidRPr="000A272E">
        <w:rPr>
          <w:rFonts w:ascii="Arial" w:hAnsi="Arial" w:cs="Arial"/>
          <w:sz w:val="22"/>
          <w:szCs w:val="22"/>
        </w:rPr>
        <w:t xml:space="preserve"> campus policy and </w:t>
      </w:r>
      <w:r w:rsidR="00414318">
        <w:rPr>
          <w:rFonts w:ascii="Arial" w:hAnsi="Arial" w:cs="Arial"/>
          <w:sz w:val="22"/>
          <w:szCs w:val="22"/>
        </w:rPr>
        <w:t xml:space="preserve">follow-up </w:t>
      </w:r>
      <w:r w:rsidR="007E57A0" w:rsidRPr="000A272E">
        <w:rPr>
          <w:rFonts w:ascii="Arial" w:hAnsi="Arial" w:cs="Arial"/>
          <w:sz w:val="22"/>
          <w:szCs w:val="22"/>
        </w:rPr>
        <w:t xml:space="preserve">procedures. </w:t>
      </w:r>
    </w:p>
    <w:p w:rsidR="005A466F" w:rsidRDefault="005A466F" w:rsidP="001B4D6A">
      <w:pPr>
        <w:shd w:val="clear" w:color="auto" w:fill="FFFFFF"/>
        <w:jc w:val="center"/>
        <w:rPr>
          <w:rFonts w:ascii="Arial" w:hAnsi="Arial" w:cs="Arial"/>
          <w:b/>
          <w:sz w:val="20"/>
          <w:szCs w:val="20"/>
        </w:rPr>
      </w:pPr>
    </w:p>
    <w:p w:rsidR="00374ED6" w:rsidRPr="00A51838" w:rsidRDefault="00374ED6" w:rsidP="001B4D6A">
      <w:pPr>
        <w:shd w:val="clear" w:color="auto" w:fill="FFFFFF"/>
        <w:jc w:val="center"/>
        <w:rPr>
          <w:rFonts w:ascii="Arial" w:hAnsi="Arial" w:cs="Arial"/>
          <w:b/>
          <w:sz w:val="18"/>
          <w:szCs w:val="18"/>
        </w:rPr>
      </w:pPr>
      <w:r w:rsidRPr="00A51838">
        <w:rPr>
          <w:rFonts w:ascii="Arial" w:hAnsi="Arial" w:cs="Arial"/>
          <w:b/>
          <w:sz w:val="18"/>
          <w:szCs w:val="18"/>
        </w:rPr>
        <w:t>Multiple Closing of Loops</w:t>
      </w:r>
    </w:p>
    <w:p w:rsidR="00374ED6" w:rsidRPr="00A51838" w:rsidRDefault="00374ED6" w:rsidP="001B4D6A">
      <w:pPr>
        <w:shd w:val="clear" w:color="auto" w:fill="FFFFFF"/>
        <w:jc w:val="center"/>
        <w:rPr>
          <w:rFonts w:ascii="Arial" w:hAnsi="Arial" w:cs="Arial"/>
          <w:b/>
          <w:sz w:val="18"/>
          <w:szCs w:val="18"/>
        </w:rPr>
      </w:pPr>
      <w:r w:rsidRPr="00A51838">
        <w:rPr>
          <w:rFonts w:ascii="Arial" w:hAnsi="Arial" w:cs="Arial"/>
          <w:b/>
          <w:sz w:val="18"/>
          <w:szCs w:val="18"/>
        </w:rPr>
        <w:t>Addressing Academic Performance</w:t>
      </w:r>
    </w:p>
    <w:p w:rsidR="00374ED6" w:rsidRPr="00A51838" w:rsidRDefault="00374ED6" w:rsidP="001B4D6A">
      <w:pPr>
        <w:shd w:val="clear" w:color="auto" w:fill="FFFFFF"/>
        <w:rPr>
          <w:rFonts w:ascii="Arial" w:hAnsi="Arial" w:cs="Arial"/>
          <w:sz w:val="18"/>
          <w:szCs w:val="18"/>
        </w:rPr>
      </w:pPr>
    </w:p>
    <w:p w:rsidR="00374ED6" w:rsidRPr="00A51838" w:rsidRDefault="00E21B15" w:rsidP="001B4D6A">
      <w:pPr>
        <w:shd w:val="clear" w:color="auto" w:fill="FFFFFF"/>
        <w:rPr>
          <w:rFonts w:ascii="Arial" w:hAnsi="Arial" w:cs="Arial"/>
          <w:sz w:val="18"/>
          <w:szCs w:val="18"/>
        </w:rPr>
      </w:pPr>
      <w:r>
        <w:rPr>
          <w:rFonts w:ascii="Arial" w:hAnsi="Arial" w:cs="Arial"/>
          <w:noProof/>
          <w:sz w:val="18"/>
          <w:szCs w:val="18"/>
          <w:lang w:eastAsia="en-US"/>
        </w:rPr>
        <w:pict>
          <v:roundrect id="_x0000_s1071" style="position:absolute;margin-left:-24.6pt;margin-top:-33.95pt;width:497.4pt;height:453.6pt;z-index:251734528" arcsize="10923f" fillcolor="#bfbfbf">
            <v:fill opacity="19661f"/>
            <v:textbox style="mso-next-textbox:#_x0000_s1071">
              <w:txbxContent>
                <w:p w:rsidR="007E1E49" w:rsidRDefault="007E1E49" w:rsidP="00A51838"/>
              </w:txbxContent>
            </v:textbox>
          </v:roundrect>
        </w:pict>
      </w:r>
      <w:r w:rsidR="00374ED6" w:rsidRPr="00A51838">
        <w:rPr>
          <w:rFonts w:ascii="Arial" w:hAnsi="Arial" w:cs="Arial"/>
          <w:sz w:val="18"/>
          <w:szCs w:val="18"/>
        </w:rPr>
        <w:t>Over the past few years, faculty, academic committees</w:t>
      </w:r>
      <w:r w:rsidR="00414318" w:rsidRPr="00A51838">
        <w:rPr>
          <w:rFonts w:ascii="Arial" w:hAnsi="Arial" w:cs="Arial"/>
          <w:sz w:val="18"/>
          <w:szCs w:val="18"/>
        </w:rPr>
        <w:t>,</w:t>
      </w:r>
      <w:r w:rsidR="00374ED6" w:rsidRPr="00A51838">
        <w:rPr>
          <w:rFonts w:ascii="Arial" w:hAnsi="Arial" w:cs="Arial"/>
          <w:sz w:val="18"/>
          <w:szCs w:val="18"/>
        </w:rPr>
        <w:t xml:space="preserve"> and student services offices </w:t>
      </w:r>
      <w:r w:rsidR="00414318" w:rsidRPr="00A51838">
        <w:rPr>
          <w:rFonts w:ascii="Arial" w:hAnsi="Arial" w:cs="Arial"/>
          <w:sz w:val="18"/>
          <w:szCs w:val="18"/>
        </w:rPr>
        <w:t>narrowed down problems in</w:t>
      </w:r>
      <w:r w:rsidR="00374ED6" w:rsidRPr="00A51838">
        <w:rPr>
          <w:rFonts w:ascii="Arial" w:hAnsi="Arial" w:cs="Arial"/>
          <w:sz w:val="18"/>
          <w:szCs w:val="18"/>
        </w:rPr>
        <w:t xml:space="preserve"> academic performance</w:t>
      </w:r>
      <w:r w:rsidR="00414318" w:rsidRPr="00A51838">
        <w:rPr>
          <w:rFonts w:ascii="Arial" w:hAnsi="Arial" w:cs="Arial"/>
          <w:sz w:val="18"/>
          <w:szCs w:val="18"/>
        </w:rPr>
        <w:t xml:space="preserve"> in </w:t>
      </w:r>
      <w:r w:rsidR="00374ED6" w:rsidRPr="00A51838">
        <w:rPr>
          <w:rFonts w:ascii="Arial" w:hAnsi="Arial" w:cs="Arial"/>
          <w:sz w:val="18"/>
          <w:szCs w:val="18"/>
        </w:rPr>
        <w:t>two major areas: math preparedness and student engageme</w:t>
      </w:r>
      <w:r w:rsidR="00414318" w:rsidRPr="00A51838">
        <w:rPr>
          <w:rFonts w:ascii="Arial" w:hAnsi="Arial" w:cs="Arial"/>
          <w:sz w:val="18"/>
          <w:szCs w:val="18"/>
        </w:rPr>
        <w:t>nt in learning. B</w:t>
      </w:r>
      <w:r w:rsidR="00374ED6" w:rsidRPr="00A51838">
        <w:rPr>
          <w:rFonts w:ascii="Arial" w:hAnsi="Arial" w:cs="Arial"/>
          <w:sz w:val="18"/>
          <w:szCs w:val="18"/>
        </w:rPr>
        <w:t xml:space="preserve">oth areas were inextricably interrelated between academic affairs and student services. </w:t>
      </w:r>
      <w:r w:rsidR="00414318" w:rsidRPr="00A51838">
        <w:rPr>
          <w:rFonts w:ascii="Arial" w:hAnsi="Arial" w:cs="Arial"/>
          <w:sz w:val="18"/>
          <w:szCs w:val="18"/>
        </w:rPr>
        <w:t>T</w:t>
      </w:r>
      <w:r w:rsidR="00374ED6" w:rsidRPr="00A51838">
        <w:rPr>
          <w:rFonts w:ascii="Arial" w:hAnsi="Arial" w:cs="Arial"/>
          <w:sz w:val="18"/>
          <w:szCs w:val="18"/>
        </w:rPr>
        <w:t xml:space="preserve">o address these issues and </w:t>
      </w:r>
      <w:r w:rsidR="00414318" w:rsidRPr="00A51838">
        <w:rPr>
          <w:rFonts w:ascii="Arial" w:hAnsi="Arial" w:cs="Arial"/>
          <w:sz w:val="18"/>
          <w:szCs w:val="18"/>
        </w:rPr>
        <w:t>to</w:t>
      </w:r>
      <w:r w:rsidR="00374ED6" w:rsidRPr="00A51838">
        <w:rPr>
          <w:rFonts w:ascii="Arial" w:hAnsi="Arial" w:cs="Arial"/>
          <w:sz w:val="18"/>
          <w:szCs w:val="18"/>
        </w:rPr>
        <w:t xml:space="preserve"> ensure student success and satisfaction, Montana Tech implemented various major and minor systemic and programmatic changes. </w:t>
      </w:r>
      <w:r w:rsidR="0023400E" w:rsidRPr="00A51838">
        <w:rPr>
          <w:rFonts w:ascii="Arial" w:hAnsi="Arial" w:cs="Arial"/>
          <w:sz w:val="18"/>
          <w:szCs w:val="18"/>
        </w:rPr>
        <w:t>These changes are listed below</w:t>
      </w:r>
      <w:r w:rsidR="00374ED6" w:rsidRPr="00A51838">
        <w:rPr>
          <w:rFonts w:ascii="Arial" w:hAnsi="Arial" w:cs="Arial"/>
          <w:sz w:val="18"/>
          <w:szCs w:val="18"/>
        </w:rPr>
        <w:t>.</w:t>
      </w:r>
    </w:p>
    <w:p w:rsidR="00374ED6" w:rsidRPr="00A51838" w:rsidRDefault="00374ED6" w:rsidP="001B4D6A">
      <w:pPr>
        <w:shd w:val="clear" w:color="auto" w:fill="FFFFFF"/>
        <w:rPr>
          <w:rFonts w:ascii="Arial" w:hAnsi="Arial" w:cs="Arial"/>
          <w:sz w:val="18"/>
          <w:szCs w:val="18"/>
        </w:rPr>
      </w:pPr>
    </w:p>
    <w:p w:rsidR="00374ED6" w:rsidRPr="00A51838" w:rsidRDefault="00374ED6" w:rsidP="001B4D6A">
      <w:pPr>
        <w:shd w:val="clear" w:color="auto" w:fill="FFFFFF"/>
        <w:rPr>
          <w:rFonts w:ascii="Arial" w:hAnsi="Arial" w:cs="Arial"/>
          <w:b/>
          <w:sz w:val="18"/>
          <w:szCs w:val="18"/>
        </w:rPr>
      </w:pPr>
      <w:r w:rsidRPr="00A51838">
        <w:rPr>
          <w:rFonts w:ascii="Arial" w:hAnsi="Arial" w:cs="Arial"/>
          <w:b/>
          <w:sz w:val="18"/>
          <w:szCs w:val="18"/>
        </w:rPr>
        <w:t>Closing the Loop: Math Preparedness</w:t>
      </w:r>
    </w:p>
    <w:p w:rsidR="00374ED6" w:rsidRPr="00A51838" w:rsidRDefault="0023400E" w:rsidP="001B4D6A">
      <w:pPr>
        <w:pStyle w:val="ListParagraph"/>
        <w:shd w:val="clear" w:color="auto" w:fill="FFFFFF"/>
        <w:rPr>
          <w:sz w:val="18"/>
          <w:szCs w:val="18"/>
        </w:rPr>
      </w:pPr>
      <w:r w:rsidRPr="00A51838">
        <w:rPr>
          <w:sz w:val="18"/>
          <w:szCs w:val="18"/>
        </w:rPr>
        <w:t>Because Montana Tech raised admission standards on</w:t>
      </w:r>
      <w:r w:rsidR="00374ED6" w:rsidRPr="00A51838">
        <w:rPr>
          <w:sz w:val="18"/>
          <w:szCs w:val="18"/>
        </w:rPr>
        <w:t xml:space="preserve"> baccalaureate programs to include an ACT math score of 22 or equivalent, the issue </w:t>
      </w:r>
      <w:r w:rsidRPr="00A51838">
        <w:rPr>
          <w:sz w:val="18"/>
          <w:szCs w:val="18"/>
        </w:rPr>
        <w:t xml:space="preserve">of </w:t>
      </w:r>
      <w:r w:rsidR="00374ED6" w:rsidRPr="00A51838">
        <w:rPr>
          <w:sz w:val="18"/>
          <w:szCs w:val="18"/>
        </w:rPr>
        <w:t xml:space="preserve">math preparedness became more significant. </w:t>
      </w:r>
      <w:r w:rsidRPr="00A51838">
        <w:rPr>
          <w:sz w:val="18"/>
          <w:szCs w:val="18"/>
        </w:rPr>
        <w:t xml:space="preserve">Therefore, </w:t>
      </w:r>
      <w:r w:rsidR="00374ED6" w:rsidRPr="00A51838">
        <w:rPr>
          <w:sz w:val="18"/>
          <w:szCs w:val="18"/>
        </w:rPr>
        <w:t xml:space="preserve">Tech realigned </w:t>
      </w:r>
      <w:r w:rsidRPr="00A51838">
        <w:rPr>
          <w:sz w:val="18"/>
          <w:szCs w:val="18"/>
        </w:rPr>
        <w:t xml:space="preserve">math placement of students on the basis of </w:t>
      </w:r>
      <w:r w:rsidR="00374ED6" w:rsidRPr="00A51838">
        <w:rPr>
          <w:sz w:val="18"/>
          <w:szCs w:val="18"/>
        </w:rPr>
        <w:t xml:space="preserve">previous student success and standardized scores; added a Pre-Calculus course to the suite of available math courses; and </w:t>
      </w:r>
      <w:r w:rsidRPr="00A51838">
        <w:rPr>
          <w:sz w:val="18"/>
          <w:szCs w:val="18"/>
        </w:rPr>
        <w:t xml:space="preserve">even </w:t>
      </w:r>
      <w:r w:rsidR="00374ED6" w:rsidRPr="00A51838">
        <w:rPr>
          <w:sz w:val="18"/>
          <w:szCs w:val="18"/>
        </w:rPr>
        <w:t>developed a Baccalau</w:t>
      </w:r>
      <w:r w:rsidRPr="00A51838">
        <w:rPr>
          <w:sz w:val="18"/>
          <w:szCs w:val="18"/>
        </w:rPr>
        <w:t>reate-Prep certificate for</w:t>
      </w:r>
      <w:r w:rsidR="00374ED6" w:rsidRPr="00A51838">
        <w:rPr>
          <w:sz w:val="18"/>
          <w:szCs w:val="18"/>
        </w:rPr>
        <w:t xml:space="preserve"> the College of Technol</w:t>
      </w:r>
      <w:r w:rsidRPr="00A51838">
        <w:rPr>
          <w:sz w:val="18"/>
          <w:szCs w:val="18"/>
        </w:rPr>
        <w:t>ogy, to help students who did not</w:t>
      </w:r>
      <w:r w:rsidR="00374ED6" w:rsidRPr="00A51838">
        <w:rPr>
          <w:sz w:val="18"/>
          <w:szCs w:val="18"/>
        </w:rPr>
        <w:t xml:space="preserve"> meet baccalaureate admissions standards prepare for undergraduate course work.</w:t>
      </w:r>
    </w:p>
    <w:p w:rsidR="00374ED6" w:rsidRPr="00A51838" w:rsidRDefault="00374ED6" w:rsidP="001B4D6A">
      <w:pPr>
        <w:shd w:val="clear" w:color="auto" w:fill="FFFFFF"/>
        <w:rPr>
          <w:rFonts w:ascii="Arial" w:hAnsi="Arial" w:cs="Arial"/>
          <w:sz w:val="18"/>
          <w:szCs w:val="18"/>
        </w:rPr>
      </w:pPr>
    </w:p>
    <w:p w:rsidR="00374ED6" w:rsidRPr="00A51838" w:rsidRDefault="00374ED6" w:rsidP="001B4D6A">
      <w:pPr>
        <w:shd w:val="clear" w:color="auto" w:fill="FFFFFF"/>
        <w:rPr>
          <w:rFonts w:ascii="Arial" w:hAnsi="Arial" w:cs="Arial"/>
          <w:b/>
          <w:sz w:val="18"/>
          <w:szCs w:val="18"/>
        </w:rPr>
      </w:pPr>
      <w:r w:rsidRPr="00A51838">
        <w:rPr>
          <w:rFonts w:ascii="Arial" w:hAnsi="Arial" w:cs="Arial"/>
          <w:b/>
          <w:sz w:val="18"/>
          <w:szCs w:val="18"/>
        </w:rPr>
        <w:t>Closing the Loop: At</w:t>
      </w:r>
      <w:r w:rsidR="00572E1A" w:rsidRPr="00A51838">
        <w:rPr>
          <w:rFonts w:ascii="Arial" w:hAnsi="Arial" w:cs="Arial"/>
          <w:b/>
          <w:sz w:val="18"/>
          <w:szCs w:val="18"/>
        </w:rPr>
        <w:t>-</w:t>
      </w:r>
      <w:r w:rsidRPr="00A51838">
        <w:rPr>
          <w:rFonts w:ascii="Arial" w:hAnsi="Arial" w:cs="Arial"/>
          <w:b/>
          <w:sz w:val="18"/>
          <w:szCs w:val="18"/>
        </w:rPr>
        <w:t>Risk Students</w:t>
      </w:r>
    </w:p>
    <w:p w:rsidR="00374ED6" w:rsidRPr="00A51838" w:rsidRDefault="00506C4B" w:rsidP="001B4D6A">
      <w:pPr>
        <w:shd w:val="clear" w:color="auto" w:fill="FFFFFF"/>
        <w:ind w:left="720"/>
        <w:rPr>
          <w:rFonts w:ascii="Arial" w:hAnsi="Arial" w:cs="Arial"/>
          <w:sz w:val="18"/>
          <w:szCs w:val="18"/>
        </w:rPr>
      </w:pPr>
      <w:r w:rsidRPr="00A51838">
        <w:rPr>
          <w:rFonts w:ascii="Arial" w:hAnsi="Arial" w:cs="Arial"/>
          <w:sz w:val="18"/>
          <w:szCs w:val="18"/>
        </w:rPr>
        <w:t>When</w:t>
      </w:r>
      <w:r w:rsidR="00374ED6" w:rsidRPr="00A51838">
        <w:rPr>
          <w:rFonts w:ascii="Arial" w:hAnsi="Arial" w:cs="Arial"/>
          <w:sz w:val="18"/>
          <w:szCs w:val="18"/>
        </w:rPr>
        <w:t xml:space="preserve"> an unusually high number of students </w:t>
      </w:r>
      <w:r w:rsidRPr="00A51838">
        <w:rPr>
          <w:rFonts w:ascii="Arial" w:hAnsi="Arial" w:cs="Arial"/>
          <w:sz w:val="18"/>
          <w:szCs w:val="18"/>
        </w:rPr>
        <w:t>began having</w:t>
      </w:r>
      <w:r w:rsidR="00374ED6" w:rsidRPr="00A51838">
        <w:rPr>
          <w:rFonts w:ascii="Arial" w:hAnsi="Arial" w:cs="Arial"/>
          <w:sz w:val="18"/>
          <w:szCs w:val="18"/>
        </w:rPr>
        <w:t xml:space="preserve"> problems in select areas, such as math, chemistry, psychology</w:t>
      </w:r>
      <w:r w:rsidRPr="00A51838">
        <w:rPr>
          <w:rFonts w:ascii="Arial" w:hAnsi="Arial" w:cs="Arial"/>
          <w:sz w:val="18"/>
          <w:szCs w:val="18"/>
        </w:rPr>
        <w:t xml:space="preserve">, and writing, </w:t>
      </w:r>
      <w:r w:rsidR="00572E1A" w:rsidRPr="00A51838">
        <w:rPr>
          <w:rFonts w:ascii="Arial" w:hAnsi="Arial" w:cs="Arial"/>
          <w:sz w:val="18"/>
          <w:szCs w:val="18"/>
        </w:rPr>
        <w:t>Montana Tech developed a new at-</w:t>
      </w:r>
      <w:r w:rsidR="00374ED6" w:rsidRPr="00A51838">
        <w:rPr>
          <w:rFonts w:ascii="Arial" w:hAnsi="Arial" w:cs="Arial"/>
          <w:sz w:val="18"/>
          <w:szCs w:val="18"/>
        </w:rPr>
        <w:t>risk/mid-term process</w:t>
      </w:r>
      <w:r w:rsidR="00E11ED0" w:rsidRPr="00A51838">
        <w:rPr>
          <w:rFonts w:ascii="Arial" w:hAnsi="Arial" w:cs="Arial"/>
          <w:sz w:val="18"/>
          <w:szCs w:val="18"/>
        </w:rPr>
        <w:t>.</w:t>
      </w:r>
      <w:r w:rsidR="00374ED6" w:rsidRPr="00A51838">
        <w:rPr>
          <w:rFonts w:ascii="Arial" w:hAnsi="Arial" w:cs="Arial"/>
          <w:sz w:val="18"/>
          <w:szCs w:val="18"/>
        </w:rPr>
        <w:t xml:space="preserve"> </w:t>
      </w:r>
      <w:r w:rsidR="00E11ED0" w:rsidRPr="00A51838">
        <w:rPr>
          <w:rFonts w:ascii="Arial" w:hAnsi="Arial" w:cs="Arial"/>
          <w:sz w:val="18"/>
          <w:szCs w:val="18"/>
        </w:rPr>
        <w:t>It</w:t>
      </w:r>
      <w:r w:rsidR="00374ED6" w:rsidRPr="00A51838">
        <w:rPr>
          <w:rFonts w:ascii="Arial" w:hAnsi="Arial" w:cs="Arial"/>
          <w:sz w:val="18"/>
          <w:szCs w:val="18"/>
        </w:rPr>
        <w:t xml:space="preserve"> formally tracks student performance on two separate occasions: first, early in the semester</w:t>
      </w:r>
      <w:r w:rsidR="00E11ED0" w:rsidRPr="00A51838">
        <w:rPr>
          <w:rFonts w:ascii="Arial" w:hAnsi="Arial" w:cs="Arial"/>
          <w:sz w:val="18"/>
          <w:szCs w:val="18"/>
        </w:rPr>
        <w:t>;</w:t>
      </w:r>
      <w:r w:rsidR="00374ED6" w:rsidRPr="00A51838">
        <w:rPr>
          <w:rFonts w:ascii="Arial" w:hAnsi="Arial" w:cs="Arial"/>
          <w:sz w:val="18"/>
          <w:szCs w:val="18"/>
        </w:rPr>
        <w:t xml:space="preserve"> and then later at mid-term. </w:t>
      </w:r>
      <w:r w:rsidR="00E11ED0" w:rsidRPr="00A51838">
        <w:rPr>
          <w:rFonts w:ascii="Arial" w:hAnsi="Arial" w:cs="Arial"/>
          <w:sz w:val="18"/>
          <w:szCs w:val="18"/>
        </w:rPr>
        <w:t xml:space="preserve"> </w:t>
      </w:r>
      <w:r w:rsidR="00374ED6" w:rsidRPr="00A51838">
        <w:rPr>
          <w:rFonts w:ascii="Arial" w:hAnsi="Arial" w:cs="Arial"/>
          <w:sz w:val="18"/>
          <w:szCs w:val="18"/>
        </w:rPr>
        <w:t>As part of the</w:t>
      </w:r>
      <w:r w:rsidR="00E11ED0" w:rsidRPr="00A51838">
        <w:rPr>
          <w:rFonts w:ascii="Arial" w:hAnsi="Arial" w:cs="Arial"/>
          <w:sz w:val="18"/>
          <w:szCs w:val="18"/>
        </w:rPr>
        <w:t xml:space="preserve"> two-stage intervention</w:t>
      </w:r>
      <w:r w:rsidR="00374ED6" w:rsidRPr="00A51838">
        <w:rPr>
          <w:rFonts w:ascii="Arial" w:hAnsi="Arial" w:cs="Arial"/>
          <w:sz w:val="18"/>
          <w:szCs w:val="18"/>
        </w:rPr>
        <w:t xml:space="preserve"> process, any student showing </w:t>
      </w:r>
      <w:r w:rsidR="00E11ED0" w:rsidRPr="00A51838">
        <w:rPr>
          <w:rFonts w:ascii="Arial" w:hAnsi="Arial" w:cs="Arial"/>
          <w:sz w:val="18"/>
          <w:szCs w:val="18"/>
        </w:rPr>
        <w:t xml:space="preserve">early on, </w:t>
      </w:r>
      <w:r w:rsidR="00374ED6" w:rsidRPr="00A51838">
        <w:rPr>
          <w:rFonts w:ascii="Arial" w:hAnsi="Arial" w:cs="Arial"/>
          <w:sz w:val="18"/>
          <w:szCs w:val="18"/>
        </w:rPr>
        <w:t>unsatisfactory performance (below C-), in even one class, is proactively contacted by faculty and/or advisors. During the second intervention, one</w:t>
      </w:r>
      <w:r w:rsidR="00E11ED0" w:rsidRPr="00A51838">
        <w:rPr>
          <w:rFonts w:ascii="Arial" w:hAnsi="Arial" w:cs="Arial"/>
          <w:sz w:val="18"/>
          <w:szCs w:val="18"/>
        </w:rPr>
        <w:t>-on-one conversations with troubled</w:t>
      </w:r>
      <w:r w:rsidR="00374ED6" w:rsidRPr="00A51838">
        <w:rPr>
          <w:rFonts w:ascii="Arial" w:hAnsi="Arial" w:cs="Arial"/>
          <w:sz w:val="18"/>
          <w:szCs w:val="18"/>
        </w:rPr>
        <w:t xml:space="preserve"> </w:t>
      </w:r>
      <w:r w:rsidR="003E1C1C" w:rsidRPr="00A51838">
        <w:rPr>
          <w:rFonts w:ascii="Arial" w:hAnsi="Arial" w:cs="Arial"/>
          <w:sz w:val="18"/>
          <w:szCs w:val="18"/>
        </w:rPr>
        <w:t xml:space="preserve">students </w:t>
      </w:r>
      <w:r w:rsidR="00374ED6" w:rsidRPr="00A51838">
        <w:rPr>
          <w:rFonts w:ascii="Arial" w:hAnsi="Arial" w:cs="Arial"/>
          <w:sz w:val="18"/>
          <w:szCs w:val="18"/>
        </w:rPr>
        <w:t xml:space="preserve">help them </w:t>
      </w:r>
      <w:r w:rsidR="00E11ED0" w:rsidRPr="00A51838">
        <w:rPr>
          <w:rFonts w:ascii="Arial" w:hAnsi="Arial" w:cs="Arial"/>
          <w:sz w:val="18"/>
          <w:szCs w:val="18"/>
        </w:rPr>
        <w:t xml:space="preserve">identify causes of </w:t>
      </w:r>
      <w:r w:rsidR="00374ED6" w:rsidRPr="00A51838">
        <w:rPr>
          <w:rFonts w:ascii="Arial" w:hAnsi="Arial" w:cs="Arial"/>
          <w:sz w:val="18"/>
          <w:szCs w:val="18"/>
        </w:rPr>
        <w:t xml:space="preserve">the unsatisfactory performance and </w:t>
      </w:r>
      <w:r w:rsidR="000D3F6A" w:rsidRPr="00A51838">
        <w:rPr>
          <w:rFonts w:ascii="Arial" w:hAnsi="Arial" w:cs="Arial"/>
          <w:sz w:val="18"/>
          <w:szCs w:val="18"/>
        </w:rPr>
        <w:t xml:space="preserve">provide available </w:t>
      </w:r>
      <w:r w:rsidR="00374ED6" w:rsidRPr="00A51838">
        <w:rPr>
          <w:rFonts w:ascii="Arial" w:hAnsi="Arial" w:cs="Arial"/>
          <w:sz w:val="18"/>
          <w:szCs w:val="18"/>
        </w:rPr>
        <w:t xml:space="preserve">resources </w:t>
      </w:r>
      <w:r w:rsidR="00E11ED0" w:rsidRPr="00A51838">
        <w:rPr>
          <w:rFonts w:ascii="Arial" w:hAnsi="Arial" w:cs="Arial"/>
          <w:sz w:val="18"/>
          <w:szCs w:val="18"/>
        </w:rPr>
        <w:t>for an</w:t>
      </w:r>
      <w:r w:rsidR="00374ED6" w:rsidRPr="00A51838">
        <w:rPr>
          <w:rFonts w:ascii="Arial" w:hAnsi="Arial" w:cs="Arial"/>
          <w:sz w:val="18"/>
          <w:szCs w:val="18"/>
        </w:rPr>
        <w:t xml:space="preserve"> appropriate resolution.</w:t>
      </w:r>
    </w:p>
    <w:p w:rsidR="00374ED6" w:rsidRPr="00A51838" w:rsidRDefault="00374ED6" w:rsidP="001B4D6A">
      <w:pPr>
        <w:shd w:val="clear" w:color="auto" w:fill="FFFFFF"/>
        <w:rPr>
          <w:rFonts w:ascii="Arial" w:hAnsi="Arial" w:cs="Arial"/>
          <w:sz w:val="18"/>
          <w:szCs w:val="18"/>
        </w:rPr>
      </w:pPr>
    </w:p>
    <w:p w:rsidR="00374ED6" w:rsidRPr="00A51838" w:rsidRDefault="00374ED6" w:rsidP="001B4D6A">
      <w:pPr>
        <w:shd w:val="clear" w:color="auto" w:fill="FFFFFF"/>
        <w:rPr>
          <w:rFonts w:ascii="Arial" w:hAnsi="Arial" w:cs="Arial"/>
          <w:b/>
          <w:sz w:val="18"/>
          <w:szCs w:val="18"/>
        </w:rPr>
      </w:pPr>
      <w:r w:rsidRPr="00A51838">
        <w:rPr>
          <w:rFonts w:ascii="Arial" w:hAnsi="Arial" w:cs="Arial"/>
          <w:b/>
          <w:sz w:val="18"/>
          <w:szCs w:val="18"/>
        </w:rPr>
        <w:t>Closing the Loop: Engineering and Science Preparedness</w:t>
      </w:r>
    </w:p>
    <w:p w:rsidR="00374ED6" w:rsidRPr="00A51838" w:rsidRDefault="00AE61BF" w:rsidP="001B4D6A">
      <w:pPr>
        <w:shd w:val="clear" w:color="auto" w:fill="FFFFFF"/>
        <w:ind w:left="720"/>
        <w:rPr>
          <w:rFonts w:ascii="Arial" w:hAnsi="Arial" w:cs="Arial"/>
          <w:color w:val="0033CC"/>
          <w:sz w:val="18"/>
          <w:szCs w:val="18"/>
        </w:rPr>
      </w:pPr>
      <w:r w:rsidRPr="00A51838">
        <w:rPr>
          <w:rFonts w:ascii="Arial" w:hAnsi="Arial" w:cs="Arial"/>
          <w:sz w:val="18"/>
          <w:szCs w:val="18"/>
        </w:rPr>
        <w:t>It should be</w:t>
      </w:r>
      <w:r w:rsidR="00374ED6" w:rsidRPr="00A51838">
        <w:rPr>
          <w:rFonts w:ascii="Arial" w:hAnsi="Arial" w:cs="Arial"/>
          <w:sz w:val="18"/>
          <w:szCs w:val="18"/>
        </w:rPr>
        <w:t xml:space="preserve"> no surprise that the largest departments </w:t>
      </w:r>
      <w:r w:rsidRPr="00A51838">
        <w:rPr>
          <w:rFonts w:ascii="Arial" w:hAnsi="Arial" w:cs="Arial"/>
          <w:sz w:val="18"/>
          <w:szCs w:val="18"/>
        </w:rPr>
        <w:t xml:space="preserve">at Montana Tech </w:t>
      </w:r>
      <w:r w:rsidR="00374ED6" w:rsidRPr="00A51838">
        <w:rPr>
          <w:rFonts w:ascii="Arial" w:hAnsi="Arial" w:cs="Arial"/>
          <w:sz w:val="18"/>
          <w:szCs w:val="18"/>
        </w:rPr>
        <w:t xml:space="preserve">are the engineering departments followed by the science departments. </w:t>
      </w:r>
      <w:r w:rsidRPr="00A51838">
        <w:rPr>
          <w:rFonts w:ascii="Arial" w:hAnsi="Arial" w:cs="Arial"/>
          <w:sz w:val="18"/>
          <w:szCs w:val="18"/>
        </w:rPr>
        <w:t xml:space="preserve">However, </w:t>
      </w:r>
      <w:r w:rsidR="00374ED6" w:rsidRPr="00A51838">
        <w:rPr>
          <w:rFonts w:ascii="Arial" w:hAnsi="Arial" w:cs="Arial"/>
          <w:sz w:val="18"/>
          <w:szCs w:val="18"/>
        </w:rPr>
        <w:t xml:space="preserve">there was an </w:t>
      </w:r>
      <w:r w:rsidR="00374ED6" w:rsidRPr="00A51838">
        <w:rPr>
          <w:rFonts w:ascii="Arial" w:hAnsi="Arial" w:cs="Arial"/>
          <w:color w:val="000000"/>
          <w:sz w:val="18"/>
          <w:szCs w:val="18"/>
        </w:rPr>
        <w:t>academic gap between student preparedness and the demands of the freshmen engineering and science curriculum. In response, Montana Tech hired a new</w:t>
      </w:r>
      <w:r w:rsidR="000D3F6A" w:rsidRPr="00A51838">
        <w:rPr>
          <w:rFonts w:ascii="Arial" w:hAnsi="Arial" w:cs="Arial"/>
          <w:color w:val="000000"/>
          <w:sz w:val="18"/>
          <w:szCs w:val="18"/>
        </w:rPr>
        <w:t xml:space="preserve"> North Campus Learning Director</w:t>
      </w:r>
      <w:r w:rsidRPr="00A51838">
        <w:rPr>
          <w:rFonts w:ascii="Arial" w:hAnsi="Arial" w:cs="Arial"/>
          <w:color w:val="000000"/>
          <w:sz w:val="18"/>
          <w:szCs w:val="18"/>
        </w:rPr>
        <w:t xml:space="preserve"> charged with </w:t>
      </w:r>
      <w:r w:rsidR="00374ED6" w:rsidRPr="00A51838">
        <w:rPr>
          <w:rFonts w:ascii="Arial" w:hAnsi="Arial" w:cs="Arial"/>
          <w:color w:val="000000"/>
          <w:sz w:val="18"/>
          <w:szCs w:val="18"/>
        </w:rPr>
        <w:t>develop</w:t>
      </w:r>
      <w:r w:rsidRPr="00A51838">
        <w:rPr>
          <w:rFonts w:ascii="Arial" w:hAnsi="Arial" w:cs="Arial"/>
          <w:color w:val="000000"/>
          <w:sz w:val="18"/>
          <w:szCs w:val="18"/>
        </w:rPr>
        <w:t>ing</w:t>
      </w:r>
      <w:r w:rsidR="00374ED6" w:rsidRPr="00A51838">
        <w:rPr>
          <w:rFonts w:ascii="Arial" w:hAnsi="Arial" w:cs="Arial"/>
          <w:color w:val="000000"/>
          <w:sz w:val="18"/>
          <w:szCs w:val="18"/>
        </w:rPr>
        <w:t xml:space="preserve"> an engineering and science preparatory curriculum</w:t>
      </w:r>
      <w:r w:rsidR="00374ED6" w:rsidRPr="00A51838">
        <w:rPr>
          <w:rFonts w:ascii="Arial" w:hAnsi="Arial" w:cs="Arial"/>
          <w:sz w:val="18"/>
          <w:szCs w:val="18"/>
        </w:rPr>
        <w:t xml:space="preserve"> for students unprepared for calculus and/or college level science courses.</w:t>
      </w:r>
      <w:r w:rsidR="00B269D3" w:rsidRPr="00A51838">
        <w:rPr>
          <w:rFonts w:ascii="Arial" w:hAnsi="Arial" w:cs="Arial"/>
          <w:sz w:val="18"/>
          <w:szCs w:val="18"/>
        </w:rPr>
        <w:t xml:space="preserve">  </w:t>
      </w:r>
      <w:r w:rsidR="00B269D3" w:rsidRPr="00A51838">
        <w:rPr>
          <w:rFonts w:ascii="Arial" w:hAnsi="Arial" w:cs="Arial"/>
          <w:color w:val="0033CC"/>
          <w:sz w:val="18"/>
          <w:szCs w:val="18"/>
        </w:rPr>
        <w:t>The Foundations of Engineering and Science Program will be offered Fall, 2010.</w:t>
      </w:r>
    </w:p>
    <w:p w:rsidR="00374ED6" w:rsidRPr="00A51838" w:rsidRDefault="00374ED6" w:rsidP="001B4D6A">
      <w:pPr>
        <w:shd w:val="clear" w:color="auto" w:fill="FFFFFF"/>
        <w:autoSpaceDE w:val="0"/>
        <w:autoSpaceDN w:val="0"/>
        <w:adjustRightInd w:val="0"/>
        <w:rPr>
          <w:rFonts w:ascii="Arial" w:hAnsi="Arial" w:cs="Arial"/>
          <w:sz w:val="18"/>
          <w:szCs w:val="18"/>
        </w:rPr>
      </w:pPr>
    </w:p>
    <w:p w:rsidR="00374ED6" w:rsidRPr="00A51838" w:rsidRDefault="00374ED6" w:rsidP="001B4D6A">
      <w:pPr>
        <w:autoSpaceDE w:val="0"/>
        <w:autoSpaceDN w:val="0"/>
        <w:adjustRightInd w:val="0"/>
        <w:rPr>
          <w:rFonts w:ascii="Arial" w:hAnsi="Arial" w:cs="Arial"/>
          <w:sz w:val="18"/>
          <w:szCs w:val="18"/>
          <w:lang w:eastAsia="en-US"/>
        </w:rPr>
      </w:pPr>
      <w:r w:rsidRPr="00A51838">
        <w:rPr>
          <w:rFonts w:ascii="Arial" w:hAnsi="Arial" w:cs="Arial"/>
          <w:sz w:val="18"/>
          <w:szCs w:val="18"/>
        </w:rPr>
        <w:t xml:space="preserve">Montana Tech also recognized that some </w:t>
      </w:r>
      <w:r w:rsidR="00AE61BF" w:rsidRPr="00A51838">
        <w:rPr>
          <w:rFonts w:ascii="Arial" w:hAnsi="Arial" w:cs="Arial"/>
          <w:sz w:val="18"/>
          <w:szCs w:val="18"/>
        </w:rPr>
        <w:t xml:space="preserve">Tech </w:t>
      </w:r>
      <w:r w:rsidR="000D3F6A" w:rsidRPr="00A51838">
        <w:rPr>
          <w:rFonts w:ascii="Arial" w:hAnsi="Arial" w:cs="Arial"/>
          <w:sz w:val="18"/>
          <w:szCs w:val="18"/>
        </w:rPr>
        <w:t>students</w:t>
      </w:r>
      <w:r w:rsidRPr="00A51838">
        <w:rPr>
          <w:rFonts w:ascii="Arial" w:hAnsi="Arial" w:cs="Arial"/>
          <w:sz w:val="18"/>
          <w:szCs w:val="18"/>
        </w:rPr>
        <w:t xml:space="preserve"> </w:t>
      </w:r>
      <w:r w:rsidR="00AE61BF" w:rsidRPr="00A51838">
        <w:rPr>
          <w:rFonts w:ascii="Arial" w:hAnsi="Arial" w:cs="Arial"/>
          <w:sz w:val="18"/>
          <w:szCs w:val="18"/>
        </w:rPr>
        <w:t xml:space="preserve">would transfer elsewhere in the </w:t>
      </w:r>
      <w:r w:rsidR="000D3F6A" w:rsidRPr="00A51838">
        <w:rPr>
          <w:rFonts w:ascii="Arial" w:hAnsi="Arial" w:cs="Arial"/>
          <w:sz w:val="18"/>
          <w:szCs w:val="18"/>
        </w:rPr>
        <w:t xml:space="preserve">Montana University </w:t>
      </w:r>
      <w:r w:rsidR="00547A0B" w:rsidRPr="00A51838">
        <w:rPr>
          <w:rFonts w:ascii="Arial" w:hAnsi="Arial" w:cs="Arial"/>
          <w:sz w:val="18"/>
          <w:szCs w:val="18"/>
        </w:rPr>
        <w:t>System (</w:t>
      </w:r>
      <w:r w:rsidR="00AE61BF" w:rsidRPr="00A51838">
        <w:rPr>
          <w:rFonts w:ascii="Arial" w:hAnsi="Arial" w:cs="Arial"/>
          <w:sz w:val="18"/>
          <w:szCs w:val="18"/>
        </w:rPr>
        <w:t>MUS</w:t>
      </w:r>
      <w:r w:rsidR="00547A0B" w:rsidRPr="00A51838">
        <w:rPr>
          <w:rFonts w:ascii="Arial" w:hAnsi="Arial" w:cs="Arial"/>
          <w:sz w:val="18"/>
          <w:szCs w:val="18"/>
        </w:rPr>
        <w:t>)</w:t>
      </w:r>
      <w:r w:rsidR="00AE61BF" w:rsidRPr="00A51838">
        <w:rPr>
          <w:rFonts w:ascii="Arial" w:hAnsi="Arial" w:cs="Arial"/>
          <w:sz w:val="18"/>
          <w:szCs w:val="18"/>
        </w:rPr>
        <w:t>.  T</w:t>
      </w:r>
      <w:r w:rsidRPr="00A51838">
        <w:rPr>
          <w:rFonts w:ascii="Arial" w:hAnsi="Arial" w:cs="Arial"/>
          <w:sz w:val="18"/>
          <w:szCs w:val="18"/>
        </w:rPr>
        <w:t>o ease transferability to other M</w:t>
      </w:r>
      <w:r w:rsidR="00547A0B" w:rsidRPr="00A51838">
        <w:rPr>
          <w:rFonts w:ascii="Arial" w:hAnsi="Arial" w:cs="Arial"/>
          <w:sz w:val="18"/>
          <w:szCs w:val="18"/>
        </w:rPr>
        <w:t>U</w:t>
      </w:r>
      <w:r w:rsidRPr="00A51838">
        <w:rPr>
          <w:rFonts w:ascii="Arial" w:hAnsi="Arial" w:cs="Arial"/>
          <w:sz w:val="18"/>
          <w:szCs w:val="18"/>
        </w:rPr>
        <w:t xml:space="preserve">S institutions, Montana Tech participated in developing a new, system-wide course numbering system developed for all campuses of the </w:t>
      </w:r>
      <w:r w:rsidR="00547A0B" w:rsidRPr="00A51838">
        <w:rPr>
          <w:rFonts w:ascii="Arial" w:hAnsi="Arial" w:cs="Arial"/>
          <w:sz w:val="18"/>
          <w:szCs w:val="18"/>
        </w:rPr>
        <w:t>MUS</w:t>
      </w:r>
      <w:r w:rsidRPr="00A51838">
        <w:rPr>
          <w:rFonts w:ascii="Arial" w:hAnsi="Arial" w:cs="Arial"/>
          <w:sz w:val="18"/>
          <w:szCs w:val="18"/>
        </w:rPr>
        <w:t xml:space="preserve">. </w:t>
      </w:r>
      <w:r w:rsidRPr="00A51838">
        <w:rPr>
          <w:rFonts w:ascii="Arial" w:hAnsi="Arial" w:cs="Arial"/>
          <w:sz w:val="18"/>
          <w:szCs w:val="18"/>
          <w:lang w:eastAsia="en-US"/>
        </w:rPr>
        <w:t xml:space="preserve">As described on the MUS Transfer Guide website </w:t>
      </w:r>
      <w:r w:rsidR="00547A0B" w:rsidRPr="00A51838">
        <w:rPr>
          <w:rFonts w:ascii="Arial" w:hAnsi="Arial" w:cs="Arial"/>
          <w:sz w:val="18"/>
          <w:szCs w:val="18"/>
          <w:lang w:eastAsia="en-US"/>
        </w:rPr>
        <w:t>(</w:t>
      </w:r>
      <w:hyperlink r:id="rId27" w:history="1">
        <w:r w:rsidRPr="00A51838">
          <w:rPr>
            <w:rStyle w:val="Hyperlink"/>
            <w:rFonts w:ascii="Arial" w:hAnsi="Arial" w:cs="Arial"/>
            <w:sz w:val="18"/>
            <w:szCs w:val="18"/>
            <w:lang w:eastAsia="en-US"/>
          </w:rPr>
          <w:t>- http : //msudw.msu.montana.edu:90</w:t>
        </w:r>
        <w:r w:rsidR="00547A0B" w:rsidRPr="00A51838">
          <w:rPr>
            <w:rStyle w:val="Hyperlink"/>
            <w:rFonts w:ascii="Arial" w:hAnsi="Arial" w:cs="Arial"/>
            <w:sz w:val="18"/>
            <w:szCs w:val="18"/>
            <w:lang w:eastAsia="en-US"/>
          </w:rPr>
          <w:t>30/wfez/owa/musxfer.p−CCN−MAIN)</w:t>
        </w:r>
        <w:r w:rsidR="00F5271E" w:rsidRPr="00A51838">
          <w:rPr>
            <w:rStyle w:val="Hyperlink"/>
            <w:rFonts w:ascii="Arial" w:hAnsi="Arial" w:cs="Arial"/>
            <w:sz w:val="18"/>
            <w:szCs w:val="18"/>
            <w:u w:val="none"/>
            <w:lang w:eastAsia="en-US"/>
          </w:rPr>
          <w:t xml:space="preserve"> </w:t>
        </w:r>
        <w:r w:rsidRPr="00A51838">
          <w:rPr>
            <w:rStyle w:val="Hyperlink"/>
            <w:rFonts w:ascii="Arial" w:hAnsi="Arial" w:cs="Arial"/>
            <w:color w:val="auto"/>
            <w:sz w:val="18"/>
            <w:szCs w:val="18"/>
            <w:u w:val="none"/>
            <w:lang w:eastAsia="en-US"/>
          </w:rPr>
          <w:t>all</w:t>
        </w:r>
      </w:hyperlink>
      <w:r w:rsidRPr="00A51838">
        <w:rPr>
          <w:rFonts w:ascii="Arial" w:hAnsi="Arial" w:cs="Arial"/>
          <w:sz w:val="18"/>
          <w:szCs w:val="18"/>
          <w:lang w:eastAsia="en-US"/>
        </w:rPr>
        <w:t xml:space="preserve"> courses deemed to be equivalent must possess the same course prefix, number, and title; and such courses will directly transfer on a one-to-one basis with equivalent courses at the receiving institution. Please see Exhibit 2.A.II</w:t>
      </w:r>
      <w:r w:rsidR="00692706" w:rsidRPr="00A51838">
        <w:rPr>
          <w:rFonts w:ascii="Arial" w:hAnsi="Arial" w:cs="Arial"/>
          <w:sz w:val="18"/>
          <w:szCs w:val="18"/>
          <w:lang w:eastAsia="en-US"/>
        </w:rPr>
        <w:t xml:space="preserve"> Montana Tech’s course numbering matrix:</w:t>
      </w:r>
      <w:r w:rsidRPr="00A51838">
        <w:rPr>
          <w:rFonts w:ascii="Arial" w:hAnsi="Arial" w:cs="Arial"/>
          <w:sz w:val="18"/>
          <w:szCs w:val="18"/>
          <w:lang w:eastAsia="en-US"/>
        </w:rPr>
        <w:t xml:space="preserve"> which is the current course numbering matrix specific to Montana Tech.</w:t>
      </w:r>
    </w:p>
    <w:p w:rsidR="008B0673" w:rsidRDefault="008B0673" w:rsidP="001B4D6A">
      <w:pPr>
        <w:autoSpaceDE w:val="0"/>
        <w:autoSpaceDN w:val="0"/>
        <w:adjustRightInd w:val="0"/>
        <w:rPr>
          <w:rFonts w:ascii="Arial" w:hAnsi="Arial" w:cs="Arial"/>
          <w:sz w:val="18"/>
          <w:szCs w:val="18"/>
          <w:lang w:eastAsia="en-US"/>
        </w:rPr>
      </w:pPr>
    </w:p>
    <w:p w:rsidR="008B0673" w:rsidRPr="00EB682F" w:rsidRDefault="008B0673" w:rsidP="001B4D6A">
      <w:pPr>
        <w:autoSpaceDE w:val="0"/>
        <w:autoSpaceDN w:val="0"/>
        <w:adjustRightInd w:val="0"/>
        <w:rPr>
          <w:rFonts w:ascii="Arial" w:hAnsi="Arial" w:cs="Arial"/>
          <w:sz w:val="18"/>
          <w:szCs w:val="18"/>
          <w:lang w:eastAsia="en-US"/>
        </w:rPr>
      </w:pPr>
    </w:p>
    <w:p w:rsidR="00C74C86" w:rsidRDefault="00C74C86" w:rsidP="001B4D6A">
      <w:pPr>
        <w:rPr>
          <w:rFonts w:ascii="Arial" w:hAnsi="Arial" w:cs="Arial"/>
          <w:sz w:val="22"/>
          <w:szCs w:val="22"/>
        </w:rPr>
      </w:pPr>
    </w:p>
    <w:p w:rsidR="00C74C86" w:rsidRDefault="00C74C86" w:rsidP="001B4D6A">
      <w:pPr>
        <w:rPr>
          <w:rFonts w:ascii="Arial" w:hAnsi="Arial" w:cs="Arial"/>
          <w:sz w:val="22"/>
          <w:szCs w:val="22"/>
        </w:rPr>
      </w:pPr>
    </w:p>
    <w:p w:rsidR="00C74C86" w:rsidRDefault="00C74C86" w:rsidP="001B4D6A">
      <w:pPr>
        <w:rPr>
          <w:rFonts w:ascii="Arial" w:hAnsi="Arial" w:cs="Arial"/>
          <w:sz w:val="22"/>
          <w:szCs w:val="22"/>
        </w:rPr>
      </w:pPr>
    </w:p>
    <w:p w:rsidR="00892CEC" w:rsidRDefault="007E57A0" w:rsidP="001B4D6A">
      <w:pPr>
        <w:rPr>
          <w:rFonts w:ascii="Arial" w:hAnsi="Arial" w:cs="Arial"/>
          <w:color w:val="0033CC"/>
          <w:sz w:val="22"/>
          <w:szCs w:val="22"/>
        </w:rPr>
      </w:pPr>
      <w:r>
        <w:rPr>
          <w:rFonts w:ascii="Arial" w:hAnsi="Arial" w:cs="Arial"/>
          <w:sz w:val="22"/>
          <w:szCs w:val="22"/>
        </w:rPr>
        <w:lastRenderedPageBreak/>
        <w:t>Montana Tech</w:t>
      </w:r>
      <w:r w:rsidRPr="000A272E">
        <w:rPr>
          <w:rFonts w:ascii="Arial" w:hAnsi="Arial" w:cs="Arial"/>
          <w:sz w:val="22"/>
          <w:szCs w:val="22"/>
        </w:rPr>
        <w:t xml:space="preserve"> </w:t>
      </w:r>
      <w:r w:rsidR="00F5271E">
        <w:rPr>
          <w:rFonts w:ascii="Arial" w:hAnsi="Arial" w:cs="Arial"/>
          <w:sz w:val="22"/>
          <w:szCs w:val="22"/>
        </w:rPr>
        <w:t xml:space="preserve">also </w:t>
      </w:r>
      <w:r w:rsidR="00ED11DA">
        <w:rPr>
          <w:rFonts w:ascii="Arial" w:hAnsi="Arial" w:cs="Arial"/>
          <w:sz w:val="22"/>
          <w:szCs w:val="22"/>
        </w:rPr>
        <w:t>noted a need to expand its</w:t>
      </w:r>
      <w:r w:rsidRPr="000A272E">
        <w:rPr>
          <w:rFonts w:ascii="Arial" w:hAnsi="Arial" w:cs="Arial"/>
          <w:sz w:val="22"/>
          <w:szCs w:val="22"/>
        </w:rPr>
        <w:t xml:space="preserve"> educational offerings </w:t>
      </w:r>
      <w:r w:rsidR="00ED11DA">
        <w:rPr>
          <w:rFonts w:ascii="Arial" w:hAnsi="Arial" w:cs="Arial"/>
          <w:sz w:val="22"/>
          <w:szCs w:val="22"/>
        </w:rPr>
        <w:t xml:space="preserve">for international </w:t>
      </w:r>
      <w:r w:rsidR="00ED11DA" w:rsidRPr="00ED11DA">
        <w:rPr>
          <w:rFonts w:ascii="Arial" w:hAnsi="Arial" w:cs="Arial"/>
          <w:sz w:val="22"/>
          <w:szCs w:val="22"/>
        </w:rPr>
        <w:t>students</w:t>
      </w:r>
      <w:r w:rsidR="00962C12">
        <w:rPr>
          <w:rFonts w:ascii="Arial" w:hAnsi="Arial" w:cs="Arial"/>
          <w:sz w:val="22"/>
          <w:szCs w:val="22"/>
        </w:rPr>
        <w:t xml:space="preserve"> </w:t>
      </w:r>
      <w:r w:rsidRPr="00ED11DA">
        <w:rPr>
          <w:rFonts w:ascii="Arial" w:hAnsi="Arial" w:cs="Arial"/>
          <w:sz w:val="22"/>
          <w:szCs w:val="22"/>
        </w:rPr>
        <w:t xml:space="preserve">based on the needs of our international population.  </w:t>
      </w:r>
      <w:r w:rsidR="0066409F" w:rsidRPr="00ED11DA">
        <w:rPr>
          <w:rFonts w:ascii="Arial" w:hAnsi="Arial" w:cs="Arial"/>
          <w:sz w:val="22"/>
          <w:szCs w:val="22"/>
        </w:rPr>
        <w:t xml:space="preserve">In </w:t>
      </w:r>
      <w:r w:rsidR="001152FC">
        <w:rPr>
          <w:rFonts w:ascii="Arial" w:hAnsi="Arial" w:cs="Arial"/>
          <w:sz w:val="22"/>
          <w:szCs w:val="22"/>
        </w:rPr>
        <w:t>Fall 2009, 209</w:t>
      </w:r>
      <w:r w:rsidRPr="00ED11DA">
        <w:rPr>
          <w:rFonts w:ascii="Arial" w:hAnsi="Arial" w:cs="Arial"/>
          <w:sz w:val="22"/>
          <w:szCs w:val="22"/>
        </w:rPr>
        <w:t xml:space="preserve"> international students</w:t>
      </w:r>
      <w:r w:rsidR="00AF3E3F" w:rsidRPr="00ED11DA">
        <w:rPr>
          <w:rFonts w:ascii="Arial" w:hAnsi="Arial" w:cs="Arial"/>
          <w:sz w:val="22"/>
          <w:szCs w:val="22"/>
        </w:rPr>
        <w:t xml:space="preserve"> from 14</w:t>
      </w:r>
      <w:r w:rsidRPr="00ED11DA">
        <w:rPr>
          <w:rFonts w:ascii="Arial" w:hAnsi="Arial" w:cs="Arial"/>
          <w:sz w:val="22"/>
          <w:szCs w:val="22"/>
        </w:rPr>
        <w:t xml:space="preserve"> countries</w:t>
      </w:r>
      <w:r w:rsidR="00ED11DA" w:rsidRPr="00ED11DA">
        <w:rPr>
          <w:rFonts w:ascii="Arial" w:hAnsi="Arial" w:cs="Arial"/>
          <w:sz w:val="22"/>
          <w:szCs w:val="22"/>
        </w:rPr>
        <w:t xml:space="preserve"> were enrolled at Montana Tech to mark </w:t>
      </w:r>
      <w:r w:rsidR="002D7EF8" w:rsidRPr="00ED11DA">
        <w:rPr>
          <w:rFonts w:ascii="Arial" w:hAnsi="Arial" w:cs="Arial"/>
          <w:sz w:val="22"/>
          <w:szCs w:val="22"/>
        </w:rPr>
        <w:t>a</w:t>
      </w:r>
      <w:r w:rsidR="00136DDC" w:rsidRPr="00ED11DA">
        <w:rPr>
          <w:rFonts w:ascii="Arial" w:hAnsi="Arial" w:cs="Arial"/>
          <w:sz w:val="22"/>
          <w:szCs w:val="22"/>
        </w:rPr>
        <w:t xml:space="preserve"> 27</w:t>
      </w:r>
      <w:r w:rsidR="007C1F75" w:rsidRPr="00ED11DA">
        <w:rPr>
          <w:rFonts w:ascii="Arial" w:hAnsi="Arial" w:cs="Arial"/>
          <w:sz w:val="22"/>
          <w:szCs w:val="22"/>
        </w:rPr>
        <w:t xml:space="preserve">% increase over </w:t>
      </w:r>
      <w:r w:rsidR="00ED11DA" w:rsidRPr="00ED11DA">
        <w:rPr>
          <w:rFonts w:ascii="Arial" w:hAnsi="Arial" w:cs="Arial"/>
          <w:sz w:val="22"/>
          <w:szCs w:val="22"/>
        </w:rPr>
        <w:t>the previous</w:t>
      </w:r>
      <w:r w:rsidR="007C1F75" w:rsidRPr="00ED11DA">
        <w:rPr>
          <w:rFonts w:ascii="Arial" w:hAnsi="Arial" w:cs="Arial"/>
          <w:sz w:val="22"/>
          <w:szCs w:val="22"/>
        </w:rPr>
        <w:t xml:space="preserve"> year and </w:t>
      </w:r>
      <w:r w:rsidR="00ED11DA" w:rsidRPr="00ED11DA">
        <w:rPr>
          <w:rFonts w:ascii="Arial" w:hAnsi="Arial" w:cs="Arial"/>
          <w:sz w:val="22"/>
          <w:szCs w:val="22"/>
        </w:rPr>
        <w:t>to represent</w:t>
      </w:r>
      <w:r w:rsidR="007C1F75" w:rsidRPr="00ED11DA">
        <w:rPr>
          <w:rFonts w:ascii="Arial" w:hAnsi="Arial" w:cs="Arial"/>
          <w:sz w:val="22"/>
          <w:szCs w:val="22"/>
        </w:rPr>
        <w:t xml:space="preserve"> the</w:t>
      </w:r>
      <w:r w:rsidRPr="00ED11DA">
        <w:rPr>
          <w:rFonts w:ascii="Arial" w:hAnsi="Arial" w:cs="Arial"/>
          <w:sz w:val="22"/>
          <w:szCs w:val="22"/>
        </w:rPr>
        <w:t xml:space="preserve"> largest international student population in Tech’s history. </w:t>
      </w:r>
      <w:r w:rsidR="00572E1A">
        <w:rPr>
          <w:rFonts w:ascii="Arial" w:hAnsi="Arial" w:cs="Arial"/>
          <w:sz w:val="22"/>
          <w:szCs w:val="22"/>
        </w:rPr>
        <w:t>Figure</w:t>
      </w:r>
      <w:r w:rsidR="005314E0" w:rsidRPr="00ED11DA">
        <w:rPr>
          <w:rFonts w:ascii="Arial" w:hAnsi="Arial" w:cs="Arial"/>
          <w:sz w:val="22"/>
          <w:szCs w:val="22"/>
        </w:rPr>
        <w:t xml:space="preserve"> 3.B.1</w:t>
      </w:r>
      <w:r w:rsidR="00D7481B">
        <w:rPr>
          <w:rFonts w:ascii="Arial" w:hAnsi="Arial" w:cs="Arial"/>
          <w:sz w:val="22"/>
          <w:szCs w:val="22"/>
        </w:rPr>
        <w:t>:</w:t>
      </w:r>
      <w:r w:rsidR="00DB465E" w:rsidRPr="00DB465E">
        <w:rPr>
          <w:rFonts w:ascii="Arial" w:hAnsi="Arial" w:cs="Arial"/>
          <w:b/>
          <w:sz w:val="22"/>
          <w:szCs w:val="22"/>
        </w:rPr>
        <w:t xml:space="preserve"> </w:t>
      </w:r>
      <w:r w:rsidR="00DB465E" w:rsidRPr="006E20B9">
        <w:rPr>
          <w:rFonts w:ascii="Arial" w:hAnsi="Arial" w:cs="Arial"/>
          <w:sz w:val="22"/>
          <w:szCs w:val="22"/>
        </w:rPr>
        <w:t>International Student Enrollme</w:t>
      </w:r>
      <w:r w:rsidR="00DB465E" w:rsidRPr="00C74C86">
        <w:rPr>
          <w:rFonts w:ascii="Arial" w:hAnsi="Arial" w:cs="Arial"/>
          <w:sz w:val="22"/>
          <w:szCs w:val="22"/>
        </w:rPr>
        <w:t>nt by Country of Origin</w:t>
      </w:r>
      <w:r w:rsidR="00892CEC" w:rsidRPr="00C74C86">
        <w:rPr>
          <w:rFonts w:ascii="Arial" w:hAnsi="Arial" w:cs="Arial"/>
          <w:sz w:val="22"/>
          <w:szCs w:val="22"/>
        </w:rPr>
        <w:t xml:space="preserve"> depicts the growth of the international student popula</w:t>
      </w:r>
      <w:r w:rsidR="00FA3620" w:rsidRPr="00C74C86">
        <w:rPr>
          <w:rFonts w:ascii="Arial" w:hAnsi="Arial" w:cs="Arial"/>
          <w:sz w:val="22"/>
          <w:szCs w:val="22"/>
        </w:rPr>
        <w:t>tion.  Students from Canada (108) and Saudi Arabia (80</w:t>
      </w:r>
      <w:r w:rsidR="00892CEC" w:rsidRPr="00C74C86">
        <w:rPr>
          <w:rFonts w:ascii="Arial" w:hAnsi="Arial" w:cs="Arial"/>
          <w:sz w:val="22"/>
          <w:szCs w:val="22"/>
        </w:rPr>
        <w:t xml:space="preserve">) represent 89% of the international population.  </w:t>
      </w:r>
    </w:p>
    <w:p w:rsidR="00411462" w:rsidRDefault="00411462" w:rsidP="001B4D6A">
      <w:pPr>
        <w:jc w:val="center"/>
        <w:rPr>
          <w:rFonts w:ascii="Arial" w:hAnsi="Arial" w:cs="Arial"/>
          <w:b/>
          <w:sz w:val="22"/>
          <w:szCs w:val="22"/>
        </w:rPr>
      </w:pPr>
    </w:p>
    <w:p w:rsidR="007E57A0" w:rsidRDefault="00C84EF9" w:rsidP="001B4D6A">
      <w:pPr>
        <w:jc w:val="center"/>
        <w:rPr>
          <w:rFonts w:ascii="Arial" w:hAnsi="Arial" w:cs="Arial"/>
          <w:sz w:val="22"/>
          <w:szCs w:val="22"/>
        </w:rPr>
      </w:pPr>
      <w:r w:rsidRPr="00C84EF9">
        <w:rPr>
          <w:noProof/>
          <w:szCs w:val="22"/>
          <w:lang w:eastAsia="en-US"/>
        </w:rPr>
        <w:drawing>
          <wp:inline distT="0" distB="0" distL="0" distR="0">
            <wp:extent cx="4379495" cy="3200400"/>
            <wp:effectExtent l="0" t="0" r="200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4379495" cy="3200400"/>
                    </a:xfrm>
                    <a:prstGeom prst="rect">
                      <a:avLst/>
                    </a:prstGeom>
                    <a:noFill/>
                    <a:ln w="9525">
                      <a:noFill/>
                      <a:miter lim="800000"/>
                      <a:headEnd/>
                      <a:tailEnd/>
                    </a:ln>
                  </pic:spPr>
                </pic:pic>
              </a:graphicData>
            </a:graphic>
          </wp:inline>
        </w:drawing>
      </w:r>
    </w:p>
    <w:p w:rsidR="007E57A0" w:rsidRDefault="007E57A0" w:rsidP="001B4D6A">
      <w:pPr>
        <w:rPr>
          <w:rFonts w:ascii="Arial" w:hAnsi="Arial" w:cs="Arial"/>
          <w:sz w:val="22"/>
          <w:szCs w:val="22"/>
        </w:rPr>
      </w:pPr>
    </w:p>
    <w:p w:rsidR="00ED11DA" w:rsidRDefault="00BE28A5" w:rsidP="001B4D6A">
      <w:pPr>
        <w:jc w:val="center"/>
        <w:rPr>
          <w:rFonts w:ascii="Arial" w:hAnsi="Arial" w:cs="Arial"/>
          <w:b/>
          <w:sz w:val="22"/>
          <w:szCs w:val="22"/>
        </w:rPr>
      </w:pPr>
      <w:r>
        <w:rPr>
          <w:rFonts w:ascii="Arial" w:hAnsi="Arial" w:cs="Arial"/>
          <w:b/>
          <w:sz w:val="22"/>
          <w:szCs w:val="22"/>
        </w:rPr>
        <w:t>Figure</w:t>
      </w:r>
      <w:r w:rsidR="00ED11DA" w:rsidRPr="00ED11DA">
        <w:rPr>
          <w:rFonts w:ascii="Arial" w:hAnsi="Arial" w:cs="Arial"/>
          <w:b/>
          <w:sz w:val="22"/>
          <w:szCs w:val="22"/>
        </w:rPr>
        <w:t xml:space="preserve"> 3.B.1</w:t>
      </w:r>
      <w:r w:rsidR="00962C12">
        <w:rPr>
          <w:rFonts w:ascii="Arial" w:hAnsi="Arial" w:cs="Arial"/>
          <w:b/>
          <w:sz w:val="22"/>
          <w:szCs w:val="22"/>
        </w:rPr>
        <w:t>:</w:t>
      </w:r>
      <w:r w:rsidR="00ED11DA" w:rsidRPr="00ED11DA">
        <w:rPr>
          <w:rFonts w:ascii="Arial" w:hAnsi="Arial" w:cs="Arial"/>
          <w:b/>
          <w:sz w:val="22"/>
          <w:szCs w:val="22"/>
        </w:rPr>
        <w:t xml:space="preserve"> </w:t>
      </w:r>
      <w:r w:rsidR="00D7481B">
        <w:rPr>
          <w:rFonts w:ascii="Arial" w:hAnsi="Arial" w:cs="Arial"/>
          <w:b/>
          <w:sz w:val="22"/>
          <w:szCs w:val="22"/>
        </w:rPr>
        <w:t xml:space="preserve"> </w:t>
      </w:r>
      <w:r w:rsidR="00ED11DA" w:rsidRPr="00ED11DA">
        <w:rPr>
          <w:rFonts w:ascii="Arial" w:hAnsi="Arial" w:cs="Arial"/>
          <w:b/>
          <w:sz w:val="22"/>
          <w:szCs w:val="22"/>
        </w:rPr>
        <w:t>International Student Enrollment by Country of</w:t>
      </w:r>
      <w:r w:rsidR="00ED11DA">
        <w:rPr>
          <w:rFonts w:ascii="Arial" w:hAnsi="Arial" w:cs="Arial"/>
          <w:sz w:val="22"/>
          <w:szCs w:val="22"/>
        </w:rPr>
        <w:t xml:space="preserve"> </w:t>
      </w:r>
      <w:r w:rsidR="00ED11DA" w:rsidRPr="00ED11DA">
        <w:rPr>
          <w:rFonts w:ascii="Arial" w:hAnsi="Arial" w:cs="Arial"/>
          <w:b/>
          <w:sz w:val="22"/>
          <w:szCs w:val="22"/>
        </w:rPr>
        <w:t>Origin</w:t>
      </w:r>
    </w:p>
    <w:p w:rsidR="00ED11DA" w:rsidRDefault="00ED11DA" w:rsidP="001B4D6A">
      <w:pPr>
        <w:jc w:val="center"/>
        <w:rPr>
          <w:rFonts w:ascii="Arial" w:hAnsi="Arial" w:cs="Arial"/>
          <w:sz w:val="22"/>
          <w:szCs w:val="22"/>
        </w:rPr>
      </w:pPr>
    </w:p>
    <w:p w:rsidR="00692706" w:rsidRPr="00C74C86" w:rsidRDefault="00692706" w:rsidP="001B4D6A">
      <w:pPr>
        <w:rPr>
          <w:rFonts w:ascii="Arial" w:hAnsi="Arial" w:cs="Arial"/>
          <w:sz w:val="22"/>
          <w:szCs w:val="22"/>
        </w:rPr>
      </w:pPr>
      <w:r w:rsidRPr="00C74C86">
        <w:rPr>
          <w:rFonts w:ascii="Arial" w:hAnsi="Arial" w:cs="Arial"/>
          <w:sz w:val="22"/>
          <w:szCs w:val="22"/>
        </w:rPr>
        <w:t>The growth of</w:t>
      </w:r>
      <w:r w:rsidR="00D16EB4" w:rsidRPr="00C74C86">
        <w:rPr>
          <w:rFonts w:ascii="Arial" w:hAnsi="Arial" w:cs="Arial"/>
          <w:sz w:val="22"/>
          <w:szCs w:val="22"/>
        </w:rPr>
        <w:t xml:space="preserve"> Canadian students is attributed to: </w:t>
      </w:r>
      <w:r w:rsidR="00FA3620" w:rsidRPr="00C74C86">
        <w:rPr>
          <w:rFonts w:ascii="Arial" w:hAnsi="Arial" w:cs="Arial"/>
          <w:sz w:val="22"/>
          <w:szCs w:val="22"/>
        </w:rPr>
        <w:t>long standing</w:t>
      </w:r>
      <w:r w:rsidR="00D16EB4" w:rsidRPr="00C74C86">
        <w:rPr>
          <w:rFonts w:ascii="Arial" w:hAnsi="Arial" w:cs="Arial"/>
          <w:sz w:val="22"/>
          <w:szCs w:val="22"/>
        </w:rPr>
        <w:t xml:space="preserve"> articulation agreements with Northern Alberta Institute of Technology </w:t>
      </w:r>
      <w:r w:rsidR="00AE47EF" w:rsidRPr="00C74C86">
        <w:rPr>
          <w:rFonts w:ascii="Arial" w:hAnsi="Arial" w:cs="Arial"/>
          <w:sz w:val="22"/>
          <w:szCs w:val="22"/>
        </w:rPr>
        <w:t xml:space="preserve">(NAIT) </w:t>
      </w:r>
      <w:r w:rsidR="00D16EB4" w:rsidRPr="00C74C86">
        <w:rPr>
          <w:rFonts w:ascii="Arial" w:hAnsi="Arial" w:cs="Arial"/>
          <w:sz w:val="22"/>
          <w:szCs w:val="22"/>
        </w:rPr>
        <w:t>and Southern Alberta Institute of Technology</w:t>
      </w:r>
      <w:r w:rsidR="00AE47EF" w:rsidRPr="00C74C86">
        <w:rPr>
          <w:rFonts w:ascii="Arial" w:hAnsi="Arial" w:cs="Arial"/>
          <w:sz w:val="22"/>
          <w:szCs w:val="22"/>
        </w:rPr>
        <w:t xml:space="preserve"> (SAIT)</w:t>
      </w:r>
      <w:r w:rsidR="00D16EB4" w:rsidRPr="00C74C86">
        <w:rPr>
          <w:rFonts w:ascii="Arial" w:hAnsi="Arial" w:cs="Arial"/>
          <w:sz w:val="22"/>
          <w:szCs w:val="22"/>
        </w:rPr>
        <w:t xml:space="preserve">; the strong value of the Canadian dollar; the Advantage Scholarship (allowing students from Alberta and majoring in specific programs to attend at a reduced rate); and changes in the Petroleum Industry (most </w:t>
      </w:r>
      <w:r w:rsidR="00FA3620" w:rsidRPr="00C74C86">
        <w:rPr>
          <w:rFonts w:ascii="Arial" w:hAnsi="Arial" w:cs="Arial"/>
          <w:sz w:val="22"/>
          <w:szCs w:val="22"/>
        </w:rPr>
        <w:t xml:space="preserve">international </w:t>
      </w:r>
      <w:r w:rsidR="00D16EB4" w:rsidRPr="00C74C86">
        <w:rPr>
          <w:rFonts w:ascii="Arial" w:hAnsi="Arial" w:cs="Arial"/>
          <w:sz w:val="22"/>
          <w:szCs w:val="22"/>
        </w:rPr>
        <w:t>students are studying petroleum engineering).</w:t>
      </w:r>
    </w:p>
    <w:p w:rsidR="00692706" w:rsidRPr="00C74C86" w:rsidRDefault="00692706" w:rsidP="001B4D6A">
      <w:pPr>
        <w:rPr>
          <w:rFonts w:ascii="Arial" w:hAnsi="Arial" w:cs="Arial"/>
          <w:sz w:val="22"/>
          <w:szCs w:val="22"/>
        </w:rPr>
      </w:pPr>
    </w:p>
    <w:p w:rsidR="00D16EB4" w:rsidRPr="00C74C86" w:rsidRDefault="00D16EB4" w:rsidP="001B4D6A">
      <w:pPr>
        <w:rPr>
          <w:rFonts w:ascii="Arial" w:hAnsi="Arial" w:cs="Arial"/>
          <w:sz w:val="22"/>
          <w:szCs w:val="22"/>
        </w:rPr>
      </w:pPr>
      <w:r w:rsidRPr="00C74C86">
        <w:rPr>
          <w:rFonts w:ascii="Arial" w:hAnsi="Arial" w:cs="Arial"/>
          <w:sz w:val="22"/>
          <w:szCs w:val="22"/>
        </w:rPr>
        <w:t>Additionally, Montana Tech has made a concerted effort to</w:t>
      </w:r>
      <w:r w:rsidR="00FA3620" w:rsidRPr="00C74C86">
        <w:rPr>
          <w:rFonts w:ascii="Arial" w:hAnsi="Arial" w:cs="Arial"/>
          <w:sz w:val="22"/>
          <w:szCs w:val="22"/>
        </w:rPr>
        <w:t>:</w:t>
      </w:r>
      <w:r w:rsidRPr="00C74C86">
        <w:rPr>
          <w:rFonts w:ascii="Arial" w:hAnsi="Arial" w:cs="Arial"/>
          <w:sz w:val="22"/>
          <w:szCs w:val="22"/>
        </w:rPr>
        <w:t xml:space="preserve"> recruit Canadian students with in</w:t>
      </w:r>
      <w:r w:rsidR="00FA3620" w:rsidRPr="00C74C86">
        <w:rPr>
          <w:rFonts w:ascii="Arial" w:hAnsi="Arial" w:cs="Arial"/>
          <w:sz w:val="22"/>
          <w:szCs w:val="22"/>
        </w:rPr>
        <w:t>creased visits to NAIT and SAIT; update articulation agreements;</w:t>
      </w:r>
      <w:r w:rsidRPr="00C74C86">
        <w:rPr>
          <w:rFonts w:ascii="Arial" w:hAnsi="Arial" w:cs="Arial"/>
          <w:sz w:val="22"/>
          <w:szCs w:val="22"/>
        </w:rPr>
        <w:t xml:space="preserve"> </w:t>
      </w:r>
      <w:r w:rsidR="00572E1A" w:rsidRPr="00C74C86">
        <w:rPr>
          <w:rFonts w:ascii="Arial" w:hAnsi="Arial" w:cs="Arial"/>
          <w:sz w:val="22"/>
          <w:szCs w:val="22"/>
        </w:rPr>
        <w:t xml:space="preserve">and </w:t>
      </w:r>
      <w:r w:rsidR="00FA3620" w:rsidRPr="00C74C86">
        <w:rPr>
          <w:rFonts w:ascii="Arial" w:hAnsi="Arial" w:cs="Arial"/>
          <w:sz w:val="22"/>
          <w:szCs w:val="22"/>
        </w:rPr>
        <w:t xml:space="preserve">expand </w:t>
      </w:r>
      <w:r w:rsidRPr="00C74C86">
        <w:rPr>
          <w:rFonts w:ascii="Arial" w:hAnsi="Arial" w:cs="Arial"/>
          <w:sz w:val="22"/>
          <w:szCs w:val="22"/>
        </w:rPr>
        <w:t>the recruit-a-friend program</w:t>
      </w:r>
      <w:r w:rsidR="00FA6111" w:rsidRPr="00C74C86">
        <w:rPr>
          <w:rFonts w:ascii="Arial" w:hAnsi="Arial" w:cs="Arial"/>
          <w:sz w:val="22"/>
          <w:szCs w:val="22"/>
        </w:rPr>
        <w:t xml:space="preserve"> (in which </w:t>
      </w:r>
      <w:r w:rsidRPr="00C74C86">
        <w:rPr>
          <w:rFonts w:ascii="Arial" w:hAnsi="Arial" w:cs="Arial"/>
          <w:sz w:val="22"/>
          <w:szCs w:val="22"/>
        </w:rPr>
        <w:t>current students are given incentives to return to their previous sch</w:t>
      </w:r>
      <w:r w:rsidR="00692706" w:rsidRPr="00C74C86">
        <w:rPr>
          <w:rFonts w:ascii="Arial" w:hAnsi="Arial" w:cs="Arial"/>
          <w:sz w:val="22"/>
          <w:szCs w:val="22"/>
        </w:rPr>
        <w:t>ool to share their experience about</w:t>
      </w:r>
      <w:r w:rsidRPr="00C74C86">
        <w:rPr>
          <w:rFonts w:ascii="Arial" w:hAnsi="Arial" w:cs="Arial"/>
          <w:sz w:val="22"/>
          <w:szCs w:val="22"/>
        </w:rPr>
        <w:t xml:space="preserve"> Montana Tech</w:t>
      </w:r>
      <w:r w:rsidR="00FA6111" w:rsidRPr="00C74C86">
        <w:rPr>
          <w:rFonts w:ascii="Arial" w:hAnsi="Arial" w:cs="Arial"/>
          <w:sz w:val="22"/>
          <w:szCs w:val="22"/>
        </w:rPr>
        <w:t>)</w:t>
      </w:r>
      <w:r w:rsidRPr="00C74C86">
        <w:rPr>
          <w:rFonts w:ascii="Arial" w:hAnsi="Arial" w:cs="Arial"/>
          <w:sz w:val="22"/>
          <w:szCs w:val="22"/>
        </w:rPr>
        <w:t>.</w:t>
      </w:r>
    </w:p>
    <w:p w:rsidR="00D16EB4" w:rsidRPr="00C74C86" w:rsidRDefault="00D16EB4" w:rsidP="001B4D6A">
      <w:pPr>
        <w:rPr>
          <w:rFonts w:ascii="Arial" w:hAnsi="Arial" w:cs="Arial"/>
          <w:sz w:val="22"/>
          <w:szCs w:val="22"/>
        </w:rPr>
      </w:pPr>
    </w:p>
    <w:p w:rsidR="003065C2" w:rsidRPr="00C74C86" w:rsidRDefault="00FA6111" w:rsidP="001B4D6A">
      <w:pPr>
        <w:rPr>
          <w:rFonts w:ascii="Arial" w:hAnsi="Arial" w:cs="Arial"/>
          <w:sz w:val="22"/>
          <w:szCs w:val="22"/>
        </w:rPr>
      </w:pPr>
      <w:r w:rsidRPr="00C74C86">
        <w:rPr>
          <w:rFonts w:ascii="Arial" w:hAnsi="Arial" w:cs="Arial"/>
          <w:sz w:val="22"/>
          <w:szCs w:val="22"/>
        </w:rPr>
        <w:t>The increase of Saudi s</w:t>
      </w:r>
      <w:r w:rsidR="003065C2" w:rsidRPr="00C74C86">
        <w:rPr>
          <w:rFonts w:ascii="Arial" w:hAnsi="Arial" w:cs="Arial"/>
          <w:sz w:val="22"/>
          <w:szCs w:val="22"/>
        </w:rPr>
        <w:t xml:space="preserve">tudents is attributed to Tech’s relationship with the ARAMCO Services Company and the </w:t>
      </w:r>
      <w:r w:rsidRPr="00C74C86">
        <w:rPr>
          <w:rFonts w:ascii="Arial" w:hAnsi="Arial" w:cs="Arial"/>
          <w:sz w:val="22"/>
          <w:szCs w:val="22"/>
        </w:rPr>
        <w:t xml:space="preserve">scholarship offered by the </w:t>
      </w:r>
      <w:r w:rsidR="003065C2" w:rsidRPr="00C74C86">
        <w:rPr>
          <w:rFonts w:ascii="Arial" w:hAnsi="Arial" w:cs="Arial"/>
          <w:sz w:val="22"/>
          <w:szCs w:val="22"/>
        </w:rPr>
        <w:t>Royal Embassy of Saudi Arabia Cultural Mission.  ARAMCO annually spo</w:t>
      </w:r>
      <w:r w:rsidRPr="00C74C86">
        <w:rPr>
          <w:rFonts w:ascii="Arial" w:hAnsi="Arial" w:cs="Arial"/>
          <w:sz w:val="22"/>
          <w:szCs w:val="22"/>
        </w:rPr>
        <w:t>nsors an average of 25 students</w:t>
      </w:r>
      <w:r w:rsidR="003065C2" w:rsidRPr="00C74C86">
        <w:rPr>
          <w:rFonts w:ascii="Arial" w:hAnsi="Arial" w:cs="Arial"/>
          <w:sz w:val="22"/>
          <w:szCs w:val="22"/>
        </w:rPr>
        <w:t xml:space="preserve">; </w:t>
      </w:r>
      <w:r w:rsidRPr="00C74C86">
        <w:rPr>
          <w:rFonts w:ascii="Arial" w:hAnsi="Arial" w:cs="Arial"/>
          <w:sz w:val="22"/>
          <w:szCs w:val="22"/>
        </w:rPr>
        <w:t>primarily</w:t>
      </w:r>
      <w:r w:rsidR="003065C2" w:rsidRPr="00C74C86">
        <w:rPr>
          <w:rFonts w:ascii="Arial" w:hAnsi="Arial" w:cs="Arial"/>
          <w:sz w:val="22"/>
          <w:szCs w:val="22"/>
        </w:rPr>
        <w:t xml:space="preserve"> in Petroleum Engineering but has expanded plac</w:t>
      </w:r>
      <w:r w:rsidRPr="00C74C86">
        <w:rPr>
          <w:rFonts w:ascii="Arial" w:hAnsi="Arial" w:cs="Arial"/>
          <w:sz w:val="22"/>
          <w:szCs w:val="22"/>
        </w:rPr>
        <w:t>ement of students to</w:t>
      </w:r>
      <w:r w:rsidR="003065C2" w:rsidRPr="00C74C86">
        <w:rPr>
          <w:rFonts w:ascii="Arial" w:hAnsi="Arial" w:cs="Arial"/>
          <w:sz w:val="22"/>
          <w:szCs w:val="22"/>
        </w:rPr>
        <w:t xml:space="preserve"> Metallurgical Engineering</w:t>
      </w:r>
      <w:r w:rsidRPr="00C74C86">
        <w:rPr>
          <w:rFonts w:ascii="Arial" w:hAnsi="Arial" w:cs="Arial"/>
          <w:sz w:val="22"/>
          <w:szCs w:val="22"/>
        </w:rPr>
        <w:t>,</w:t>
      </w:r>
      <w:r w:rsidR="003065C2" w:rsidRPr="00C74C86">
        <w:rPr>
          <w:rFonts w:ascii="Arial" w:hAnsi="Arial" w:cs="Arial"/>
          <w:sz w:val="22"/>
          <w:szCs w:val="22"/>
        </w:rPr>
        <w:t xml:space="preserve"> Geological Engineering, Geophysical Engineering and Occupational Safety </w:t>
      </w:r>
      <w:r w:rsidRPr="00C74C86">
        <w:rPr>
          <w:rFonts w:ascii="Arial" w:hAnsi="Arial" w:cs="Arial"/>
          <w:sz w:val="22"/>
          <w:szCs w:val="22"/>
        </w:rPr>
        <w:t>and Health</w:t>
      </w:r>
      <w:r w:rsidR="003065C2" w:rsidRPr="00C74C86">
        <w:rPr>
          <w:rFonts w:ascii="Arial" w:hAnsi="Arial" w:cs="Arial"/>
          <w:sz w:val="22"/>
          <w:szCs w:val="22"/>
        </w:rPr>
        <w:t>.  The significant growth of Saudi students</w:t>
      </w:r>
      <w:r w:rsidRPr="00C74C86">
        <w:rPr>
          <w:rFonts w:ascii="Arial" w:hAnsi="Arial" w:cs="Arial"/>
          <w:sz w:val="22"/>
          <w:szCs w:val="22"/>
        </w:rPr>
        <w:t xml:space="preserve"> can also be attributed to the current Cultural Mission Scholarship recipients encouraging their friends and family to </w:t>
      </w:r>
      <w:r w:rsidR="00D178B5" w:rsidRPr="00C74C86">
        <w:rPr>
          <w:rFonts w:ascii="Arial" w:hAnsi="Arial" w:cs="Arial"/>
          <w:sz w:val="22"/>
          <w:szCs w:val="22"/>
        </w:rPr>
        <w:t>apply</w:t>
      </w:r>
      <w:r w:rsidR="003065C2" w:rsidRPr="00C74C86">
        <w:rPr>
          <w:rFonts w:ascii="Arial" w:hAnsi="Arial" w:cs="Arial"/>
          <w:sz w:val="22"/>
          <w:szCs w:val="22"/>
        </w:rPr>
        <w:t>.</w:t>
      </w:r>
    </w:p>
    <w:p w:rsidR="003065C2" w:rsidRDefault="003065C2" w:rsidP="001B4D6A">
      <w:pPr>
        <w:rPr>
          <w:rFonts w:ascii="Arial" w:hAnsi="Arial" w:cs="Arial"/>
          <w:sz w:val="22"/>
          <w:szCs w:val="22"/>
        </w:rPr>
      </w:pPr>
    </w:p>
    <w:p w:rsidR="007E57A0" w:rsidRDefault="007E57A0" w:rsidP="001B4D6A">
      <w:pPr>
        <w:rPr>
          <w:rFonts w:ascii="Arial" w:hAnsi="Arial" w:cs="Arial"/>
          <w:sz w:val="22"/>
          <w:szCs w:val="22"/>
        </w:rPr>
      </w:pPr>
      <w:r>
        <w:rPr>
          <w:rFonts w:ascii="Arial" w:hAnsi="Arial" w:cs="Arial"/>
          <w:sz w:val="22"/>
          <w:szCs w:val="22"/>
        </w:rPr>
        <w:lastRenderedPageBreak/>
        <w:t xml:space="preserve">The International Student Office provides support and assistance for </w:t>
      </w:r>
      <w:r w:rsidR="00DF1966">
        <w:rPr>
          <w:rFonts w:ascii="Arial" w:hAnsi="Arial" w:cs="Arial"/>
          <w:sz w:val="22"/>
          <w:szCs w:val="22"/>
        </w:rPr>
        <w:t xml:space="preserve">Tech’s </w:t>
      </w:r>
      <w:r>
        <w:rPr>
          <w:rFonts w:ascii="Arial" w:hAnsi="Arial" w:cs="Arial"/>
          <w:sz w:val="22"/>
          <w:szCs w:val="22"/>
        </w:rPr>
        <w:t xml:space="preserve">international </w:t>
      </w:r>
      <w:r w:rsidRPr="000058FA">
        <w:rPr>
          <w:rFonts w:ascii="Arial" w:hAnsi="Arial" w:cs="Arial"/>
          <w:sz w:val="22"/>
          <w:szCs w:val="22"/>
        </w:rPr>
        <w:t xml:space="preserve">students. </w:t>
      </w:r>
      <w:r w:rsidR="005314E0" w:rsidRPr="000058FA">
        <w:rPr>
          <w:rFonts w:ascii="Arial" w:hAnsi="Arial" w:cs="Arial"/>
          <w:sz w:val="22"/>
          <w:szCs w:val="22"/>
        </w:rPr>
        <w:t xml:space="preserve">In 2005, </w:t>
      </w:r>
      <w:r w:rsidRPr="000058FA">
        <w:rPr>
          <w:rFonts w:ascii="Arial" w:hAnsi="Arial" w:cs="Arial"/>
          <w:sz w:val="22"/>
          <w:szCs w:val="22"/>
        </w:rPr>
        <w:t xml:space="preserve">Montana Tech </w:t>
      </w:r>
      <w:r w:rsidR="005314E0" w:rsidRPr="000058FA">
        <w:rPr>
          <w:rFonts w:ascii="Arial" w:hAnsi="Arial" w:cs="Arial"/>
          <w:sz w:val="22"/>
          <w:szCs w:val="22"/>
        </w:rPr>
        <w:t>established a partnership</w:t>
      </w:r>
      <w:r w:rsidRPr="000058FA">
        <w:rPr>
          <w:rFonts w:ascii="Arial" w:hAnsi="Arial" w:cs="Arial"/>
          <w:sz w:val="22"/>
          <w:szCs w:val="22"/>
        </w:rPr>
        <w:t xml:space="preserve"> with The University of Montana English Language Institute (E</w:t>
      </w:r>
      <w:r w:rsidR="00DF1966">
        <w:rPr>
          <w:rFonts w:ascii="Arial" w:hAnsi="Arial" w:cs="Arial"/>
          <w:sz w:val="22"/>
          <w:szCs w:val="22"/>
        </w:rPr>
        <w:t xml:space="preserve">LI) to provide English for </w:t>
      </w:r>
      <w:r w:rsidRPr="000058FA">
        <w:rPr>
          <w:rFonts w:ascii="Arial" w:hAnsi="Arial" w:cs="Arial"/>
          <w:sz w:val="22"/>
          <w:szCs w:val="22"/>
        </w:rPr>
        <w:t>students admitted to Tech without language proficiency.</w:t>
      </w:r>
      <w:r w:rsidRPr="000A272E">
        <w:rPr>
          <w:rFonts w:ascii="Arial" w:hAnsi="Arial" w:cs="Arial"/>
          <w:sz w:val="22"/>
          <w:szCs w:val="22"/>
        </w:rPr>
        <w:t xml:space="preserve">  </w:t>
      </w:r>
      <w:r w:rsidR="00DF1966">
        <w:rPr>
          <w:rFonts w:ascii="Arial" w:hAnsi="Arial" w:cs="Arial"/>
          <w:sz w:val="22"/>
          <w:szCs w:val="22"/>
        </w:rPr>
        <w:t>These s</w:t>
      </w:r>
      <w:r>
        <w:rPr>
          <w:rFonts w:ascii="Arial" w:hAnsi="Arial" w:cs="Arial"/>
          <w:sz w:val="22"/>
          <w:szCs w:val="22"/>
        </w:rPr>
        <w:t xml:space="preserve">tudents </w:t>
      </w:r>
      <w:r w:rsidR="00DF1966">
        <w:rPr>
          <w:rFonts w:ascii="Arial" w:hAnsi="Arial" w:cs="Arial"/>
          <w:sz w:val="22"/>
          <w:szCs w:val="22"/>
        </w:rPr>
        <w:t xml:space="preserve">first </w:t>
      </w:r>
      <w:r>
        <w:rPr>
          <w:rFonts w:ascii="Arial" w:hAnsi="Arial" w:cs="Arial"/>
          <w:sz w:val="22"/>
          <w:szCs w:val="22"/>
        </w:rPr>
        <w:t xml:space="preserve">attend the Missoula-based program and </w:t>
      </w:r>
      <w:r w:rsidR="00DF1966">
        <w:rPr>
          <w:rFonts w:ascii="Arial" w:hAnsi="Arial" w:cs="Arial"/>
          <w:sz w:val="22"/>
          <w:szCs w:val="22"/>
        </w:rPr>
        <w:t xml:space="preserve">then </w:t>
      </w:r>
      <w:r>
        <w:rPr>
          <w:rFonts w:ascii="Arial" w:hAnsi="Arial" w:cs="Arial"/>
          <w:sz w:val="22"/>
          <w:szCs w:val="22"/>
        </w:rPr>
        <w:t>trans</w:t>
      </w:r>
      <w:r w:rsidR="007C1F75">
        <w:rPr>
          <w:rFonts w:ascii="Arial" w:hAnsi="Arial" w:cs="Arial"/>
          <w:sz w:val="22"/>
          <w:szCs w:val="22"/>
        </w:rPr>
        <w:t>fer to Tech after they complete</w:t>
      </w:r>
      <w:r>
        <w:rPr>
          <w:rFonts w:ascii="Arial" w:hAnsi="Arial" w:cs="Arial"/>
          <w:sz w:val="22"/>
          <w:szCs w:val="22"/>
        </w:rPr>
        <w:t xml:space="preserve"> English profici</w:t>
      </w:r>
      <w:r w:rsidR="00DF1966">
        <w:rPr>
          <w:rFonts w:ascii="Arial" w:hAnsi="Arial" w:cs="Arial"/>
          <w:sz w:val="22"/>
          <w:szCs w:val="22"/>
        </w:rPr>
        <w:t>ency</w:t>
      </w:r>
      <w:r w:rsidR="00572E1A">
        <w:rPr>
          <w:rFonts w:ascii="Arial" w:hAnsi="Arial" w:cs="Arial"/>
          <w:sz w:val="22"/>
          <w:szCs w:val="22"/>
        </w:rPr>
        <w:t>, which is required</w:t>
      </w:r>
      <w:r>
        <w:rPr>
          <w:rFonts w:ascii="Arial" w:hAnsi="Arial" w:cs="Arial"/>
          <w:sz w:val="22"/>
          <w:szCs w:val="22"/>
        </w:rPr>
        <w:t xml:space="preserve"> to be unconditionally admitted. </w:t>
      </w:r>
    </w:p>
    <w:p w:rsidR="00BA7AEF" w:rsidRDefault="00BA7AEF" w:rsidP="001B4D6A">
      <w:pPr>
        <w:rPr>
          <w:rFonts w:ascii="Arial" w:hAnsi="Arial" w:cs="Arial"/>
          <w:sz w:val="22"/>
          <w:szCs w:val="22"/>
        </w:rPr>
      </w:pPr>
    </w:p>
    <w:p w:rsidR="00C9486F" w:rsidRPr="00BA310C" w:rsidRDefault="00C9486F" w:rsidP="001B4D6A">
      <w:pPr>
        <w:shd w:val="clear" w:color="auto" w:fill="FFFFFF" w:themeFill="background1"/>
        <w:jc w:val="center"/>
        <w:rPr>
          <w:rFonts w:ascii="Arial" w:hAnsi="Arial" w:cs="Arial"/>
          <w:b/>
          <w:sz w:val="22"/>
          <w:szCs w:val="22"/>
        </w:rPr>
      </w:pPr>
      <w:r w:rsidRPr="00BA310C">
        <w:rPr>
          <w:rFonts w:ascii="Arial" w:hAnsi="Arial" w:cs="Arial"/>
          <w:b/>
          <w:sz w:val="22"/>
          <w:szCs w:val="22"/>
        </w:rPr>
        <w:t>Closing the Loop</w:t>
      </w:r>
    </w:p>
    <w:p w:rsidR="007E57A0" w:rsidRPr="00BA310C" w:rsidRDefault="007E57A0" w:rsidP="001B4D6A">
      <w:pPr>
        <w:shd w:val="clear" w:color="auto" w:fill="FFFFFF" w:themeFill="background1"/>
        <w:jc w:val="center"/>
        <w:rPr>
          <w:rFonts w:ascii="Arial" w:hAnsi="Arial" w:cs="Arial"/>
          <w:b/>
          <w:sz w:val="22"/>
          <w:szCs w:val="22"/>
        </w:rPr>
      </w:pPr>
      <w:r w:rsidRPr="00BA310C">
        <w:rPr>
          <w:rFonts w:ascii="Arial" w:hAnsi="Arial" w:cs="Arial"/>
          <w:b/>
          <w:sz w:val="22"/>
          <w:szCs w:val="22"/>
        </w:rPr>
        <w:t>International Student Retention</w:t>
      </w:r>
    </w:p>
    <w:p w:rsidR="007E57A0" w:rsidRPr="00C9486F" w:rsidRDefault="00E21B15" w:rsidP="001B4D6A">
      <w:pPr>
        <w:shd w:val="clear" w:color="auto" w:fill="FFFFFF" w:themeFill="background1"/>
        <w:rPr>
          <w:rFonts w:ascii="Arial" w:hAnsi="Arial" w:cs="Arial"/>
          <w:sz w:val="22"/>
          <w:szCs w:val="22"/>
        </w:rPr>
      </w:pPr>
      <w:r>
        <w:rPr>
          <w:rFonts w:ascii="Arial" w:hAnsi="Arial" w:cs="Arial"/>
          <w:noProof/>
          <w:sz w:val="22"/>
          <w:szCs w:val="22"/>
          <w:lang w:eastAsia="en-US"/>
        </w:rPr>
        <w:pict>
          <v:roundrect id="_x0000_s1060" style="position:absolute;margin-left:-12pt;margin-top:-28.9pt;width:496.2pt;height:129.6pt;z-index:251731456" arcsize="10923f" fillcolor="#bfbfbf">
            <v:fill opacity="19661f"/>
          </v:roundrect>
        </w:pict>
      </w:r>
    </w:p>
    <w:p w:rsidR="0052201C" w:rsidRDefault="007C1F75" w:rsidP="001B4D6A">
      <w:pPr>
        <w:shd w:val="clear" w:color="auto" w:fill="FFFFFF" w:themeFill="background1"/>
        <w:rPr>
          <w:rFonts w:ascii="Arial" w:hAnsi="Arial" w:cs="Arial"/>
          <w:sz w:val="22"/>
          <w:szCs w:val="22"/>
        </w:rPr>
      </w:pPr>
      <w:r>
        <w:rPr>
          <w:rFonts w:ascii="Arial" w:hAnsi="Arial" w:cs="Arial"/>
          <w:sz w:val="22"/>
          <w:szCs w:val="22"/>
        </w:rPr>
        <w:t>Middle Eastern s</w:t>
      </w:r>
      <w:r w:rsidR="007E57A0" w:rsidRPr="00C9486F">
        <w:rPr>
          <w:rFonts w:ascii="Arial" w:hAnsi="Arial" w:cs="Arial"/>
          <w:sz w:val="22"/>
          <w:szCs w:val="22"/>
        </w:rPr>
        <w:t>tudents</w:t>
      </w:r>
      <w:r>
        <w:rPr>
          <w:rFonts w:ascii="Arial" w:hAnsi="Arial" w:cs="Arial"/>
          <w:sz w:val="22"/>
          <w:szCs w:val="22"/>
        </w:rPr>
        <w:t>, representing a</w:t>
      </w:r>
      <w:r w:rsidR="005314E0" w:rsidRPr="000058FA">
        <w:rPr>
          <w:rFonts w:ascii="Arial" w:hAnsi="Arial" w:cs="Arial"/>
          <w:sz w:val="22"/>
          <w:szCs w:val="22"/>
        </w:rPr>
        <w:t xml:space="preserve"> significant demographic increase</w:t>
      </w:r>
      <w:r w:rsidR="007E57A0" w:rsidRPr="000058FA">
        <w:rPr>
          <w:rFonts w:ascii="Arial" w:hAnsi="Arial" w:cs="Arial"/>
          <w:sz w:val="22"/>
          <w:szCs w:val="22"/>
        </w:rPr>
        <w:t xml:space="preserve"> </w:t>
      </w:r>
      <w:r w:rsidR="00572E1A">
        <w:rPr>
          <w:rFonts w:ascii="Arial" w:hAnsi="Arial" w:cs="Arial"/>
          <w:sz w:val="22"/>
          <w:szCs w:val="22"/>
        </w:rPr>
        <w:t>(See Figure 3.B.1</w:t>
      </w:r>
      <w:r w:rsidR="005314E0" w:rsidRPr="000058FA">
        <w:rPr>
          <w:rFonts w:ascii="Arial" w:hAnsi="Arial" w:cs="Arial"/>
          <w:sz w:val="22"/>
          <w:szCs w:val="22"/>
        </w:rPr>
        <w:t>)</w:t>
      </w:r>
      <w:r>
        <w:rPr>
          <w:rFonts w:ascii="Arial" w:hAnsi="Arial" w:cs="Arial"/>
          <w:sz w:val="22"/>
          <w:szCs w:val="22"/>
        </w:rPr>
        <w:t>,</w:t>
      </w:r>
      <w:r w:rsidR="005314E0" w:rsidRPr="000058FA">
        <w:rPr>
          <w:rFonts w:ascii="Arial" w:hAnsi="Arial" w:cs="Arial"/>
          <w:sz w:val="22"/>
          <w:szCs w:val="22"/>
        </w:rPr>
        <w:t xml:space="preserve"> </w:t>
      </w:r>
      <w:r w:rsidR="002F07B7">
        <w:rPr>
          <w:rFonts w:ascii="Arial" w:hAnsi="Arial" w:cs="Arial"/>
          <w:sz w:val="22"/>
          <w:szCs w:val="22"/>
        </w:rPr>
        <w:t>requested that English training</w:t>
      </w:r>
      <w:r w:rsidR="007E57A0" w:rsidRPr="00C9486F">
        <w:rPr>
          <w:rFonts w:ascii="Arial" w:hAnsi="Arial" w:cs="Arial"/>
          <w:sz w:val="22"/>
          <w:szCs w:val="22"/>
        </w:rPr>
        <w:t xml:space="preserve"> be offered on campus for spouses</w:t>
      </w:r>
      <w:r w:rsidR="002F07B7">
        <w:rPr>
          <w:rFonts w:ascii="Arial" w:hAnsi="Arial" w:cs="Arial"/>
          <w:sz w:val="22"/>
          <w:szCs w:val="22"/>
        </w:rPr>
        <w:t>.</w:t>
      </w:r>
      <w:r>
        <w:rPr>
          <w:rFonts w:ascii="Arial" w:hAnsi="Arial" w:cs="Arial"/>
          <w:sz w:val="22"/>
          <w:szCs w:val="22"/>
        </w:rPr>
        <w:t xml:space="preserve"> Without an on campus ELI</w:t>
      </w:r>
      <w:r w:rsidR="00DD651B" w:rsidRPr="00C9486F">
        <w:rPr>
          <w:rFonts w:ascii="Arial" w:hAnsi="Arial" w:cs="Arial"/>
          <w:sz w:val="22"/>
          <w:szCs w:val="22"/>
        </w:rPr>
        <w:t xml:space="preserve"> P</w:t>
      </w:r>
      <w:r w:rsidR="002F07B7">
        <w:rPr>
          <w:rFonts w:ascii="Arial" w:hAnsi="Arial" w:cs="Arial"/>
          <w:sz w:val="22"/>
          <w:szCs w:val="22"/>
        </w:rPr>
        <w:t>rogram, some</w:t>
      </w:r>
      <w:r w:rsidR="007E57A0" w:rsidRPr="00C9486F">
        <w:rPr>
          <w:rFonts w:ascii="Arial" w:hAnsi="Arial" w:cs="Arial"/>
          <w:sz w:val="22"/>
          <w:szCs w:val="22"/>
        </w:rPr>
        <w:t xml:space="preserve"> students were </w:t>
      </w:r>
      <w:r w:rsidR="002F07B7">
        <w:rPr>
          <w:rFonts w:ascii="Arial" w:hAnsi="Arial" w:cs="Arial"/>
          <w:sz w:val="22"/>
          <w:szCs w:val="22"/>
        </w:rPr>
        <w:t xml:space="preserve">exploring options </w:t>
      </w:r>
      <w:r w:rsidR="00692706">
        <w:rPr>
          <w:rFonts w:ascii="Arial" w:hAnsi="Arial" w:cs="Arial"/>
          <w:sz w:val="22"/>
          <w:szCs w:val="22"/>
        </w:rPr>
        <w:t xml:space="preserve">of </w:t>
      </w:r>
      <w:r w:rsidR="00B269D3">
        <w:rPr>
          <w:rFonts w:ascii="Arial" w:hAnsi="Arial" w:cs="Arial"/>
          <w:sz w:val="22"/>
          <w:szCs w:val="22"/>
        </w:rPr>
        <w:t>transferring</w:t>
      </w:r>
      <w:r>
        <w:rPr>
          <w:rFonts w:ascii="Arial" w:hAnsi="Arial" w:cs="Arial"/>
          <w:sz w:val="22"/>
          <w:szCs w:val="22"/>
        </w:rPr>
        <w:t xml:space="preserve"> to</w:t>
      </w:r>
      <w:r w:rsidR="002F07B7">
        <w:rPr>
          <w:rFonts w:ascii="Arial" w:hAnsi="Arial" w:cs="Arial"/>
          <w:sz w:val="22"/>
          <w:szCs w:val="22"/>
        </w:rPr>
        <w:t xml:space="preserve"> other colleges</w:t>
      </w:r>
      <w:r w:rsidR="00DD651B" w:rsidRPr="00C9486F">
        <w:rPr>
          <w:rFonts w:ascii="Arial" w:hAnsi="Arial" w:cs="Arial"/>
          <w:sz w:val="22"/>
          <w:szCs w:val="22"/>
        </w:rPr>
        <w:t>.</w:t>
      </w:r>
      <w:r w:rsidR="007E57A0" w:rsidRPr="00C9486F">
        <w:rPr>
          <w:rFonts w:ascii="Arial" w:hAnsi="Arial" w:cs="Arial"/>
          <w:sz w:val="22"/>
          <w:szCs w:val="22"/>
        </w:rPr>
        <w:t xml:space="preserve">  </w:t>
      </w:r>
      <w:r w:rsidR="002F07B7">
        <w:rPr>
          <w:rFonts w:ascii="Arial" w:hAnsi="Arial" w:cs="Arial"/>
          <w:sz w:val="22"/>
          <w:szCs w:val="22"/>
        </w:rPr>
        <w:t xml:space="preserve">As a result, </w:t>
      </w:r>
      <w:r w:rsidR="007E57A0" w:rsidRPr="00C9486F">
        <w:rPr>
          <w:rFonts w:ascii="Arial" w:hAnsi="Arial" w:cs="Arial"/>
          <w:sz w:val="22"/>
          <w:szCs w:val="22"/>
        </w:rPr>
        <w:t>Montana Tech worked with The University</w:t>
      </w:r>
      <w:r>
        <w:rPr>
          <w:rFonts w:ascii="Arial" w:hAnsi="Arial" w:cs="Arial"/>
          <w:sz w:val="22"/>
          <w:szCs w:val="22"/>
        </w:rPr>
        <w:t xml:space="preserve"> of Montana to provide English l</w:t>
      </w:r>
      <w:r w:rsidR="007E57A0" w:rsidRPr="00C9486F">
        <w:rPr>
          <w:rFonts w:ascii="Arial" w:hAnsi="Arial" w:cs="Arial"/>
          <w:sz w:val="22"/>
          <w:szCs w:val="22"/>
        </w:rPr>
        <w:t xml:space="preserve">anguage training on campus.  </w:t>
      </w:r>
      <w:r>
        <w:rPr>
          <w:rFonts w:ascii="Arial" w:hAnsi="Arial" w:cs="Arial"/>
          <w:sz w:val="22"/>
          <w:szCs w:val="22"/>
        </w:rPr>
        <w:t xml:space="preserve">In </w:t>
      </w:r>
      <w:r w:rsidR="007E57A0" w:rsidRPr="00C9486F">
        <w:rPr>
          <w:rFonts w:ascii="Arial" w:hAnsi="Arial" w:cs="Arial"/>
          <w:sz w:val="22"/>
          <w:szCs w:val="22"/>
        </w:rPr>
        <w:t xml:space="preserve">Spring 2009, Montana Tech offered a pilot English Language Program for Level One English to international student spouses. </w:t>
      </w:r>
    </w:p>
    <w:p w:rsidR="00B748BF" w:rsidRDefault="007C1F75" w:rsidP="001B4D6A">
      <w:pPr>
        <w:shd w:val="clear" w:color="auto" w:fill="FFFFFF" w:themeFill="background1"/>
        <w:rPr>
          <w:rFonts w:ascii="Arial" w:hAnsi="Arial" w:cs="Arial"/>
          <w:sz w:val="22"/>
          <w:szCs w:val="22"/>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FB25C3">
        <w:rPr>
          <w:rFonts w:ascii="Arial" w:hAnsi="Arial" w:cs="Arial"/>
          <w:b/>
        </w:rPr>
        <w:tab/>
      </w:r>
      <w:r w:rsidR="00FB25C3">
        <w:rPr>
          <w:rFonts w:ascii="Arial" w:hAnsi="Arial" w:cs="Arial"/>
          <w:b/>
        </w:rPr>
        <w:tab/>
      </w:r>
    </w:p>
    <w:p w:rsidR="00DB465E" w:rsidRDefault="00DB465E" w:rsidP="001B4D6A">
      <w:pPr>
        <w:rPr>
          <w:rFonts w:ascii="Arial" w:hAnsi="Arial" w:cs="Arial"/>
          <w:sz w:val="22"/>
          <w:szCs w:val="22"/>
          <w:highlight w:val="lightGray"/>
        </w:rPr>
      </w:pPr>
    </w:p>
    <w:p w:rsidR="007E57A0" w:rsidRPr="0089684E" w:rsidRDefault="007E57A0" w:rsidP="001B4D6A">
      <w:pPr>
        <w:rPr>
          <w:rFonts w:ascii="Arial" w:hAnsi="Arial" w:cs="Arial"/>
          <w:b/>
          <w:sz w:val="22"/>
          <w:szCs w:val="22"/>
        </w:rPr>
      </w:pPr>
      <w:r>
        <w:rPr>
          <w:rFonts w:ascii="Arial" w:hAnsi="Arial" w:cs="Arial"/>
          <w:b/>
          <w:sz w:val="22"/>
          <w:szCs w:val="22"/>
        </w:rPr>
        <w:t>3.B.2</w:t>
      </w:r>
      <w:r>
        <w:rPr>
          <w:rFonts w:ascii="Arial" w:hAnsi="Arial" w:cs="Arial"/>
          <w:b/>
          <w:sz w:val="22"/>
          <w:szCs w:val="22"/>
        </w:rPr>
        <w:tab/>
      </w:r>
      <w:r w:rsidRPr="0089684E">
        <w:rPr>
          <w:rFonts w:ascii="Arial" w:hAnsi="Arial" w:cs="Arial"/>
          <w:b/>
          <w:sz w:val="22"/>
          <w:szCs w:val="22"/>
        </w:rPr>
        <w:t>The institution provides opportunities for students to participate in institutional governance. Faculty are involved in the development of policies for student programs and services.</w:t>
      </w:r>
    </w:p>
    <w:p w:rsidR="007E57A0" w:rsidRDefault="007E57A0" w:rsidP="001B4D6A">
      <w:pPr>
        <w:rPr>
          <w:rFonts w:ascii="Arial" w:hAnsi="Arial" w:cs="Arial"/>
          <w:b/>
          <w:sz w:val="22"/>
          <w:szCs w:val="22"/>
        </w:rPr>
      </w:pPr>
    </w:p>
    <w:p w:rsidR="007E57A0" w:rsidRDefault="007E57A0" w:rsidP="001B4D6A">
      <w:pPr>
        <w:rPr>
          <w:rFonts w:ascii="Arial" w:hAnsi="Arial" w:cs="Arial"/>
          <w:sz w:val="22"/>
          <w:szCs w:val="22"/>
        </w:rPr>
      </w:pPr>
      <w:r>
        <w:rPr>
          <w:rFonts w:ascii="Arial" w:hAnsi="Arial" w:cs="Arial"/>
          <w:sz w:val="22"/>
          <w:szCs w:val="22"/>
        </w:rPr>
        <w:t xml:space="preserve">The student governing body, </w:t>
      </w:r>
      <w:r w:rsidR="003056EF">
        <w:rPr>
          <w:rFonts w:ascii="Arial" w:hAnsi="Arial" w:cs="Arial"/>
          <w:sz w:val="22"/>
          <w:szCs w:val="22"/>
        </w:rPr>
        <w:t xml:space="preserve">the </w:t>
      </w:r>
      <w:r>
        <w:rPr>
          <w:rFonts w:ascii="Arial" w:hAnsi="Arial" w:cs="Arial"/>
          <w:sz w:val="22"/>
          <w:szCs w:val="22"/>
        </w:rPr>
        <w:t>Associated Students of Montana Tech</w:t>
      </w:r>
      <w:r w:rsidR="003056EF" w:rsidRPr="003056EF">
        <w:rPr>
          <w:rFonts w:ascii="Arial" w:hAnsi="Arial" w:cs="Arial"/>
          <w:sz w:val="22"/>
          <w:szCs w:val="22"/>
        </w:rPr>
        <w:t xml:space="preserve"> </w:t>
      </w:r>
      <w:r w:rsidR="003056EF">
        <w:rPr>
          <w:rFonts w:ascii="Arial" w:hAnsi="Arial" w:cs="Arial"/>
          <w:sz w:val="22"/>
          <w:szCs w:val="22"/>
        </w:rPr>
        <w:t>(</w:t>
      </w:r>
      <w:r w:rsidR="003056EF" w:rsidRPr="00241B66">
        <w:rPr>
          <w:rFonts w:ascii="Arial" w:hAnsi="Arial" w:cs="Arial"/>
          <w:sz w:val="22"/>
          <w:szCs w:val="22"/>
        </w:rPr>
        <w:t>ASMT</w:t>
      </w:r>
      <w:r>
        <w:rPr>
          <w:rFonts w:ascii="Arial" w:hAnsi="Arial" w:cs="Arial"/>
          <w:sz w:val="22"/>
          <w:szCs w:val="22"/>
        </w:rPr>
        <w:t>), annually elects a student body president, vice president, and treasurer. T</w:t>
      </w:r>
      <w:r w:rsidRPr="00241B66">
        <w:rPr>
          <w:rFonts w:ascii="Arial" w:hAnsi="Arial" w:cs="Arial"/>
          <w:sz w:val="22"/>
          <w:szCs w:val="22"/>
        </w:rPr>
        <w:t xml:space="preserve">en </w:t>
      </w:r>
      <w:r>
        <w:rPr>
          <w:rFonts w:ascii="Arial" w:hAnsi="Arial" w:cs="Arial"/>
          <w:sz w:val="22"/>
          <w:szCs w:val="22"/>
        </w:rPr>
        <w:t>elected s</w:t>
      </w:r>
      <w:r w:rsidRPr="00241B66">
        <w:rPr>
          <w:rFonts w:ascii="Arial" w:hAnsi="Arial" w:cs="Arial"/>
          <w:sz w:val="22"/>
          <w:szCs w:val="22"/>
        </w:rPr>
        <w:t>enators</w:t>
      </w:r>
      <w:r>
        <w:rPr>
          <w:rFonts w:ascii="Arial" w:hAnsi="Arial" w:cs="Arial"/>
          <w:sz w:val="22"/>
          <w:szCs w:val="22"/>
        </w:rPr>
        <w:t xml:space="preserve"> comprise</w:t>
      </w:r>
      <w:r w:rsidR="00F65156">
        <w:rPr>
          <w:rFonts w:ascii="Arial" w:hAnsi="Arial" w:cs="Arial"/>
          <w:sz w:val="22"/>
          <w:szCs w:val="22"/>
        </w:rPr>
        <w:t xml:space="preserve"> the full student government.  T</w:t>
      </w:r>
      <w:r w:rsidRPr="00241B66">
        <w:rPr>
          <w:rFonts w:ascii="Arial" w:hAnsi="Arial" w:cs="Arial"/>
          <w:sz w:val="22"/>
          <w:szCs w:val="22"/>
        </w:rPr>
        <w:t xml:space="preserve">he Senate </w:t>
      </w:r>
      <w:r w:rsidR="00F65156">
        <w:rPr>
          <w:rFonts w:ascii="Arial" w:hAnsi="Arial" w:cs="Arial"/>
          <w:sz w:val="22"/>
          <w:szCs w:val="22"/>
        </w:rPr>
        <w:t xml:space="preserve">includes </w:t>
      </w:r>
      <w:r w:rsidRPr="00241B66">
        <w:rPr>
          <w:rFonts w:ascii="Arial" w:hAnsi="Arial" w:cs="Arial"/>
          <w:sz w:val="22"/>
          <w:szCs w:val="22"/>
        </w:rPr>
        <w:t xml:space="preserve">one </w:t>
      </w:r>
      <w:r w:rsidRPr="00C74C86">
        <w:rPr>
          <w:rFonts w:ascii="Arial" w:hAnsi="Arial" w:cs="Arial"/>
          <w:sz w:val="22"/>
          <w:szCs w:val="22"/>
        </w:rPr>
        <w:t>representative from the C</w:t>
      </w:r>
      <w:r w:rsidR="00F65156" w:rsidRPr="00C74C86">
        <w:rPr>
          <w:rFonts w:ascii="Arial" w:hAnsi="Arial" w:cs="Arial"/>
          <w:sz w:val="22"/>
          <w:szCs w:val="22"/>
        </w:rPr>
        <w:t>OT</w:t>
      </w:r>
      <w:r w:rsidRPr="00C74C86">
        <w:rPr>
          <w:rFonts w:ascii="Arial" w:hAnsi="Arial" w:cs="Arial"/>
          <w:sz w:val="22"/>
          <w:szCs w:val="22"/>
        </w:rPr>
        <w:t>.  ASMT me</w:t>
      </w:r>
      <w:r w:rsidR="009F3D72" w:rsidRPr="00C74C86">
        <w:rPr>
          <w:rFonts w:ascii="Arial" w:hAnsi="Arial" w:cs="Arial"/>
          <w:sz w:val="22"/>
          <w:szCs w:val="22"/>
        </w:rPr>
        <w:t>ets bimonthly</w:t>
      </w:r>
      <w:r w:rsidR="00B14F9C" w:rsidRPr="00C74C86">
        <w:rPr>
          <w:rFonts w:ascii="Arial" w:hAnsi="Arial" w:cs="Arial"/>
          <w:sz w:val="22"/>
          <w:szCs w:val="22"/>
        </w:rPr>
        <w:t>, usually at 7:00 A.M.</w:t>
      </w:r>
      <w:r w:rsidR="00F65156" w:rsidRPr="00C74C86">
        <w:rPr>
          <w:rFonts w:ascii="Arial" w:hAnsi="Arial" w:cs="Arial"/>
          <w:sz w:val="22"/>
          <w:szCs w:val="22"/>
        </w:rPr>
        <w:t>,</w:t>
      </w:r>
      <w:r w:rsidRPr="00C74C86">
        <w:rPr>
          <w:rFonts w:ascii="Arial" w:hAnsi="Arial" w:cs="Arial"/>
          <w:sz w:val="22"/>
          <w:szCs w:val="22"/>
        </w:rPr>
        <w:t xml:space="preserve"> to minimize meeting conflicts. </w:t>
      </w:r>
      <w:r w:rsidR="009F3D72" w:rsidRPr="00C74C86">
        <w:rPr>
          <w:rFonts w:ascii="Arial" w:hAnsi="Arial" w:cs="Arial"/>
          <w:sz w:val="22"/>
          <w:szCs w:val="22"/>
        </w:rPr>
        <w:t>The duties and responsibilities of the officers are clearly articulated in ASMT’s Constitution, revised</w:t>
      </w:r>
      <w:r w:rsidR="009F3D72">
        <w:rPr>
          <w:rFonts w:ascii="Arial" w:hAnsi="Arial" w:cs="Arial"/>
          <w:sz w:val="22"/>
          <w:szCs w:val="22"/>
        </w:rPr>
        <w:t xml:space="preserve"> May 2007</w:t>
      </w:r>
      <w:r w:rsidR="009F3D72" w:rsidRPr="009F6021">
        <w:rPr>
          <w:rFonts w:ascii="Arial" w:hAnsi="Arial" w:cs="Arial"/>
          <w:sz w:val="22"/>
          <w:szCs w:val="22"/>
        </w:rPr>
        <w:t xml:space="preserve">. </w:t>
      </w:r>
      <w:r>
        <w:rPr>
          <w:rFonts w:ascii="Arial" w:hAnsi="Arial" w:cs="Arial"/>
          <w:sz w:val="22"/>
          <w:szCs w:val="22"/>
        </w:rPr>
        <w:t xml:space="preserve">All registered students of Montana Tech enrolled for one (1) or more credits are members of the association. </w:t>
      </w:r>
      <w:r w:rsidRPr="009F6021">
        <w:rPr>
          <w:rFonts w:ascii="Arial" w:hAnsi="Arial" w:cs="Arial"/>
          <w:sz w:val="22"/>
          <w:szCs w:val="22"/>
        </w:rPr>
        <w:t>(</w:t>
      </w:r>
      <w:r w:rsidR="003056EF" w:rsidRPr="009F6021">
        <w:rPr>
          <w:rFonts w:ascii="Arial" w:hAnsi="Arial" w:cs="Arial"/>
          <w:sz w:val="22"/>
          <w:szCs w:val="22"/>
        </w:rPr>
        <w:t xml:space="preserve">See </w:t>
      </w:r>
      <w:r w:rsidRPr="009F6021">
        <w:rPr>
          <w:rFonts w:ascii="Arial" w:hAnsi="Arial" w:cs="Arial"/>
          <w:sz w:val="22"/>
          <w:szCs w:val="22"/>
        </w:rPr>
        <w:t>Exhibit 3.B.II</w:t>
      </w:r>
      <w:r w:rsidR="00D7481B" w:rsidRPr="009F6021">
        <w:rPr>
          <w:rFonts w:ascii="Arial" w:hAnsi="Arial" w:cs="Arial"/>
          <w:sz w:val="22"/>
          <w:szCs w:val="22"/>
        </w:rPr>
        <w:t>:</w:t>
      </w:r>
      <w:r w:rsidRPr="009F6021">
        <w:rPr>
          <w:rFonts w:ascii="Arial" w:hAnsi="Arial" w:cs="Arial"/>
          <w:sz w:val="22"/>
          <w:szCs w:val="22"/>
        </w:rPr>
        <w:t xml:space="preserve"> </w:t>
      </w:r>
      <w:hyperlink r:id="rId29" w:history="1">
        <w:r w:rsidRPr="002A34F1">
          <w:rPr>
            <w:rStyle w:val="Hyperlink"/>
            <w:rFonts w:ascii="Arial" w:hAnsi="Arial" w:cs="Arial"/>
            <w:i/>
            <w:sz w:val="22"/>
            <w:szCs w:val="22"/>
          </w:rPr>
          <w:t>ASMT Constitution</w:t>
        </w:r>
      </w:hyperlink>
      <w:r w:rsidR="003056EF" w:rsidRPr="002A34F1">
        <w:rPr>
          <w:rFonts w:ascii="Arial" w:hAnsi="Arial" w:cs="Arial"/>
          <w:sz w:val="22"/>
          <w:szCs w:val="22"/>
        </w:rPr>
        <w:t>.</w:t>
      </w:r>
      <w:r w:rsidRPr="002A34F1">
        <w:rPr>
          <w:rFonts w:ascii="Arial" w:hAnsi="Arial" w:cs="Arial"/>
          <w:sz w:val="22"/>
          <w:szCs w:val="22"/>
        </w:rPr>
        <w:t>)</w:t>
      </w:r>
    </w:p>
    <w:p w:rsidR="007E57A0" w:rsidRDefault="007E57A0" w:rsidP="001B4D6A">
      <w:pPr>
        <w:rPr>
          <w:rFonts w:ascii="Arial" w:hAnsi="Arial" w:cs="Arial"/>
          <w:sz w:val="22"/>
          <w:szCs w:val="22"/>
        </w:rPr>
      </w:pPr>
    </w:p>
    <w:p w:rsidR="007E57A0" w:rsidRPr="00241B66" w:rsidRDefault="007E57A0" w:rsidP="001B4D6A">
      <w:pPr>
        <w:rPr>
          <w:rFonts w:ascii="Arial" w:hAnsi="Arial" w:cs="Arial"/>
        </w:rPr>
      </w:pPr>
      <w:r w:rsidRPr="00241B66">
        <w:rPr>
          <w:rFonts w:ascii="Arial" w:hAnsi="Arial" w:cs="Arial"/>
          <w:sz w:val="22"/>
          <w:szCs w:val="22"/>
        </w:rPr>
        <w:t xml:space="preserve">A faculty member </w:t>
      </w:r>
      <w:r w:rsidR="00136DDC">
        <w:rPr>
          <w:rFonts w:ascii="Arial" w:hAnsi="Arial" w:cs="Arial"/>
          <w:sz w:val="22"/>
          <w:szCs w:val="22"/>
        </w:rPr>
        <w:t xml:space="preserve">is </w:t>
      </w:r>
      <w:r w:rsidRPr="00241B66">
        <w:rPr>
          <w:rFonts w:ascii="Arial" w:hAnsi="Arial" w:cs="Arial"/>
          <w:sz w:val="22"/>
          <w:szCs w:val="22"/>
        </w:rPr>
        <w:t xml:space="preserve">chosen </w:t>
      </w:r>
      <w:r>
        <w:rPr>
          <w:rFonts w:ascii="Arial" w:hAnsi="Arial" w:cs="Arial"/>
          <w:sz w:val="22"/>
          <w:szCs w:val="22"/>
        </w:rPr>
        <w:t xml:space="preserve">each year </w:t>
      </w:r>
      <w:r w:rsidRPr="00241B66">
        <w:rPr>
          <w:rFonts w:ascii="Arial" w:hAnsi="Arial" w:cs="Arial"/>
          <w:sz w:val="22"/>
          <w:szCs w:val="22"/>
        </w:rPr>
        <w:t xml:space="preserve">by the </w:t>
      </w:r>
      <w:r>
        <w:rPr>
          <w:rFonts w:ascii="Arial" w:hAnsi="Arial" w:cs="Arial"/>
          <w:sz w:val="22"/>
          <w:szCs w:val="22"/>
        </w:rPr>
        <w:t xml:space="preserve">student </w:t>
      </w:r>
      <w:r w:rsidRPr="00241B66">
        <w:rPr>
          <w:rFonts w:ascii="Arial" w:hAnsi="Arial" w:cs="Arial"/>
          <w:sz w:val="22"/>
          <w:szCs w:val="22"/>
        </w:rPr>
        <w:t xml:space="preserve">leadership </w:t>
      </w:r>
      <w:r w:rsidR="00136DDC">
        <w:rPr>
          <w:rFonts w:ascii="Arial" w:hAnsi="Arial" w:cs="Arial"/>
          <w:sz w:val="22"/>
          <w:szCs w:val="22"/>
        </w:rPr>
        <w:t xml:space="preserve">and </w:t>
      </w:r>
      <w:r>
        <w:rPr>
          <w:rFonts w:ascii="Arial" w:hAnsi="Arial" w:cs="Arial"/>
          <w:sz w:val="22"/>
          <w:szCs w:val="22"/>
        </w:rPr>
        <w:t>serves as an advisor to ASMT.</w:t>
      </w:r>
      <w:r w:rsidRPr="00241B66">
        <w:rPr>
          <w:rFonts w:ascii="Arial" w:hAnsi="Arial" w:cs="Arial"/>
          <w:sz w:val="22"/>
          <w:szCs w:val="22"/>
        </w:rPr>
        <w:t xml:space="preserve">  This faculty member provides a guidin</w:t>
      </w:r>
      <w:r>
        <w:rPr>
          <w:rFonts w:ascii="Arial" w:hAnsi="Arial" w:cs="Arial"/>
          <w:sz w:val="22"/>
          <w:szCs w:val="22"/>
        </w:rPr>
        <w:t>g hand to the group and serves</w:t>
      </w:r>
      <w:r w:rsidRPr="00241B66">
        <w:rPr>
          <w:rFonts w:ascii="Arial" w:hAnsi="Arial" w:cs="Arial"/>
          <w:sz w:val="22"/>
          <w:szCs w:val="22"/>
        </w:rPr>
        <w:t xml:space="preserve"> as the conduit for </w:t>
      </w:r>
      <w:r w:rsidR="00873AB8">
        <w:rPr>
          <w:rFonts w:ascii="Arial" w:hAnsi="Arial" w:cs="Arial"/>
          <w:sz w:val="22"/>
          <w:szCs w:val="22"/>
        </w:rPr>
        <w:t>faculty-</w:t>
      </w:r>
      <w:r w:rsidR="00F65156">
        <w:rPr>
          <w:rFonts w:ascii="Arial" w:hAnsi="Arial" w:cs="Arial"/>
          <w:sz w:val="22"/>
          <w:szCs w:val="22"/>
        </w:rPr>
        <w:t>to</w:t>
      </w:r>
      <w:r w:rsidR="00873AB8">
        <w:rPr>
          <w:rFonts w:ascii="Arial" w:hAnsi="Arial" w:cs="Arial"/>
          <w:sz w:val="22"/>
          <w:szCs w:val="22"/>
        </w:rPr>
        <w:t>-</w:t>
      </w:r>
      <w:r w:rsidRPr="00241B66">
        <w:rPr>
          <w:rFonts w:ascii="Arial" w:hAnsi="Arial" w:cs="Arial"/>
          <w:sz w:val="22"/>
          <w:szCs w:val="22"/>
        </w:rPr>
        <w:t>student governmen</w:t>
      </w:r>
      <w:r w:rsidR="003056EF">
        <w:rPr>
          <w:rFonts w:ascii="Arial" w:hAnsi="Arial" w:cs="Arial"/>
          <w:sz w:val="22"/>
          <w:szCs w:val="22"/>
        </w:rPr>
        <w:t>t activities.  An</w:t>
      </w:r>
      <w:r w:rsidRPr="00241B66">
        <w:rPr>
          <w:rFonts w:ascii="Arial" w:hAnsi="Arial" w:cs="Arial"/>
          <w:sz w:val="22"/>
          <w:szCs w:val="22"/>
        </w:rPr>
        <w:t xml:space="preserve"> advisor</w:t>
      </w:r>
      <w:r w:rsidR="003056EF">
        <w:rPr>
          <w:rFonts w:ascii="Arial" w:hAnsi="Arial" w:cs="Arial"/>
          <w:sz w:val="22"/>
          <w:szCs w:val="22"/>
        </w:rPr>
        <w:t xml:space="preserve"> from</w:t>
      </w:r>
      <w:r w:rsidRPr="00241B66">
        <w:rPr>
          <w:rFonts w:ascii="Arial" w:hAnsi="Arial" w:cs="Arial"/>
          <w:sz w:val="22"/>
          <w:szCs w:val="22"/>
        </w:rPr>
        <w:t xml:space="preserve"> </w:t>
      </w:r>
      <w:r w:rsidR="003056EF">
        <w:rPr>
          <w:rFonts w:ascii="Arial" w:hAnsi="Arial" w:cs="Arial"/>
          <w:sz w:val="22"/>
          <w:szCs w:val="22"/>
        </w:rPr>
        <w:t xml:space="preserve">Tech’s administration </w:t>
      </w:r>
      <w:r w:rsidRPr="00241B66">
        <w:rPr>
          <w:rFonts w:ascii="Arial" w:hAnsi="Arial" w:cs="Arial"/>
          <w:sz w:val="22"/>
          <w:szCs w:val="22"/>
        </w:rPr>
        <w:t>also advises and serves as a conduit to the administration.</w:t>
      </w:r>
      <w:r>
        <w:rPr>
          <w:rFonts w:ascii="Arial" w:hAnsi="Arial" w:cs="Arial"/>
          <w:sz w:val="22"/>
          <w:szCs w:val="22"/>
        </w:rPr>
        <w:t xml:space="preserve"> </w:t>
      </w:r>
    </w:p>
    <w:p w:rsidR="007E57A0" w:rsidRDefault="007E57A0" w:rsidP="001B4D6A">
      <w:pPr>
        <w:rPr>
          <w:rFonts w:ascii="Arial" w:hAnsi="Arial" w:cs="Arial"/>
          <w:sz w:val="22"/>
          <w:szCs w:val="22"/>
        </w:rPr>
      </w:pPr>
    </w:p>
    <w:p w:rsidR="007E57A0" w:rsidRDefault="007E57A0" w:rsidP="001B4D6A">
      <w:pPr>
        <w:rPr>
          <w:rFonts w:ascii="Arial" w:hAnsi="Arial" w:cs="Arial"/>
          <w:sz w:val="22"/>
          <w:szCs w:val="22"/>
        </w:rPr>
      </w:pPr>
      <w:r w:rsidRPr="00462537">
        <w:rPr>
          <w:rFonts w:ascii="Arial" w:hAnsi="Arial" w:cs="Arial"/>
          <w:sz w:val="22"/>
          <w:szCs w:val="22"/>
        </w:rPr>
        <w:t xml:space="preserve">The purpose of </w:t>
      </w:r>
      <w:r w:rsidR="003056EF">
        <w:rPr>
          <w:rFonts w:ascii="Arial" w:hAnsi="Arial" w:cs="Arial"/>
          <w:sz w:val="22"/>
          <w:szCs w:val="22"/>
        </w:rPr>
        <w:t>ASMT</w:t>
      </w:r>
      <w:r w:rsidRPr="00462537">
        <w:rPr>
          <w:rFonts w:ascii="Arial" w:hAnsi="Arial" w:cs="Arial"/>
          <w:sz w:val="22"/>
          <w:szCs w:val="22"/>
        </w:rPr>
        <w:t xml:space="preserve"> is to advance the </w:t>
      </w:r>
      <w:r>
        <w:rPr>
          <w:rFonts w:ascii="Arial" w:hAnsi="Arial" w:cs="Arial"/>
          <w:sz w:val="22"/>
          <w:szCs w:val="22"/>
        </w:rPr>
        <w:t>i</w:t>
      </w:r>
      <w:r w:rsidRPr="00462537">
        <w:rPr>
          <w:rFonts w:ascii="Arial" w:hAnsi="Arial" w:cs="Arial"/>
          <w:sz w:val="22"/>
          <w:szCs w:val="22"/>
        </w:rPr>
        <w:t>nterest and welfare of M</w:t>
      </w:r>
      <w:r>
        <w:rPr>
          <w:rFonts w:ascii="Arial" w:hAnsi="Arial" w:cs="Arial"/>
          <w:sz w:val="22"/>
          <w:szCs w:val="22"/>
        </w:rPr>
        <w:t>o</w:t>
      </w:r>
      <w:r w:rsidRPr="00462537">
        <w:rPr>
          <w:rFonts w:ascii="Arial" w:hAnsi="Arial" w:cs="Arial"/>
          <w:sz w:val="22"/>
          <w:szCs w:val="22"/>
        </w:rPr>
        <w:t>ntana</w:t>
      </w:r>
      <w:r>
        <w:rPr>
          <w:rFonts w:ascii="Arial" w:hAnsi="Arial" w:cs="Arial"/>
          <w:sz w:val="22"/>
          <w:szCs w:val="22"/>
        </w:rPr>
        <w:t xml:space="preserve"> Tech students and </w:t>
      </w:r>
      <w:r w:rsidR="003056EF">
        <w:rPr>
          <w:rFonts w:ascii="Arial" w:hAnsi="Arial" w:cs="Arial"/>
          <w:sz w:val="22"/>
          <w:szCs w:val="22"/>
        </w:rPr>
        <w:t xml:space="preserve">to </w:t>
      </w:r>
      <w:r>
        <w:rPr>
          <w:rFonts w:ascii="Arial" w:hAnsi="Arial" w:cs="Arial"/>
          <w:sz w:val="22"/>
          <w:szCs w:val="22"/>
        </w:rPr>
        <w:t xml:space="preserve">foster harmony among the interconnected parties within the </w:t>
      </w:r>
      <w:r w:rsidR="003056EF">
        <w:rPr>
          <w:rFonts w:ascii="Arial" w:hAnsi="Arial" w:cs="Arial"/>
          <w:sz w:val="22"/>
          <w:szCs w:val="22"/>
        </w:rPr>
        <w:t>University</w:t>
      </w:r>
      <w:r>
        <w:rPr>
          <w:rFonts w:ascii="Arial" w:hAnsi="Arial" w:cs="Arial"/>
          <w:sz w:val="22"/>
          <w:szCs w:val="22"/>
        </w:rPr>
        <w:t>.  ASMT strives to ensure a full social and academic life for all students within its organizations, publications, clubs, school functions</w:t>
      </w:r>
      <w:r w:rsidR="003056EF">
        <w:rPr>
          <w:rFonts w:ascii="Arial" w:hAnsi="Arial" w:cs="Arial"/>
          <w:sz w:val="22"/>
          <w:szCs w:val="22"/>
        </w:rPr>
        <w:t>,</w:t>
      </w:r>
      <w:r>
        <w:rPr>
          <w:rFonts w:ascii="Arial" w:hAnsi="Arial" w:cs="Arial"/>
          <w:sz w:val="22"/>
          <w:szCs w:val="22"/>
        </w:rPr>
        <w:t xml:space="preserve"> and activities.  ASMT is charged with the fair and equitable distribution of student fees, organizing and planning activities on ca</w:t>
      </w:r>
      <w:r w:rsidR="00BB606A">
        <w:rPr>
          <w:rFonts w:ascii="Arial" w:hAnsi="Arial" w:cs="Arial"/>
          <w:sz w:val="22"/>
          <w:szCs w:val="22"/>
        </w:rPr>
        <w:t xml:space="preserve">mpus, </w:t>
      </w:r>
      <w:r w:rsidR="00DB465E">
        <w:rPr>
          <w:rFonts w:ascii="Arial" w:hAnsi="Arial" w:cs="Arial"/>
          <w:sz w:val="22"/>
          <w:szCs w:val="22"/>
        </w:rPr>
        <w:t xml:space="preserve">with </w:t>
      </w:r>
      <w:r w:rsidR="00BB606A">
        <w:rPr>
          <w:rFonts w:ascii="Arial" w:hAnsi="Arial" w:cs="Arial"/>
          <w:sz w:val="22"/>
          <w:szCs w:val="22"/>
        </w:rPr>
        <w:t xml:space="preserve">student publications, campus recreation, and </w:t>
      </w:r>
      <w:r w:rsidR="00DB465E">
        <w:rPr>
          <w:rFonts w:ascii="Arial" w:hAnsi="Arial" w:cs="Arial"/>
          <w:sz w:val="22"/>
          <w:szCs w:val="22"/>
        </w:rPr>
        <w:t xml:space="preserve">with </w:t>
      </w:r>
      <w:r w:rsidR="00BB606A">
        <w:rPr>
          <w:rFonts w:ascii="Arial" w:hAnsi="Arial" w:cs="Arial"/>
          <w:sz w:val="22"/>
          <w:szCs w:val="22"/>
        </w:rPr>
        <w:t>placing students on cam</w:t>
      </w:r>
      <w:r w:rsidR="00F65156">
        <w:rPr>
          <w:rFonts w:ascii="Arial" w:hAnsi="Arial" w:cs="Arial"/>
          <w:sz w:val="22"/>
          <w:szCs w:val="22"/>
        </w:rPr>
        <w:t xml:space="preserve">pus committees so </w:t>
      </w:r>
      <w:r w:rsidR="00DB465E">
        <w:rPr>
          <w:rFonts w:ascii="Arial" w:hAnsi="Arial" w:cs="Arial"/>
          <w:sz w:val="22"/>
          <w:szCs w:val="22"/>
        </w:rPr>
        <w:t xml:space="preserve">that all </w:t>
      </w:r>
      <w:r w:rsidR="00F65156">
        <w:rPr>
          <w:rFonts w:ascii="Arial" w:hAnsi="Arial" w:cs="Arial"/>
          <w:sz w:val="22"/>
          <w:szCs w:val="22"/>
        </w:rPr>
        <w:t xml:space="preserve">decisions </w:t>
      </w:r>
      <w:r w:rsidR="00BB606A">
        <w:rPr>
          <w:rFonts w:ascii="Arial" w:hAnsi="Arial" w:cs="Arial"/>
          <w:sz w:val="22"/>
          <w:szCs w:val="22"/>
        </w:rPr>
        <w:t>include student input</w:t>
      </w:r>
      <w:r w:rsidR="00F65156">
        <w:rPr>
          <w:rFonts w:ascii="Arial" w:hAnsi="Arial" w:cs="Arial"/>
          <w:sz w:val="22"/>
          <w:szCs w:val="22"/>
        </w:rPr>
        <w:t>.</w:t>
      </w:r>
      <w:r w:rsidR="00BB606A">
        <w:rPr>
          <w:rFonts w:ascii="Arial" w:hAnsi="Arial" w:cs="Arial"/>
          <w:sz w:val="22"/>
          <w:szCs w:val="22"/>
        </w:rPr>
        <w:t xml:space="preserve"> </w:t>
      </w:r>
    </w:p>
    <w:p w:rsidR="007E57A0" w:rsidRDefault="007E57A0" w:rsidP="001B4D6A">
      <w:pPr>
        <w:ind w:left="720"/>
        <w:rPr>
          <w:rFonts w:ascii="Palatino Linotype" w:hAnsi="Palatino Linotype"/>
          <w:sz w:val="22"/>
          <w:szCs w:val="22"/>
        </w:rPr>
      </w:pPr>
    </w:p>
    <w:p w:rsidR="007E57A0" w:rsidRDefault="007E57A0" w:rsidP="001B4D6A">
      <w:pPr>
        <w:rPr>
          <w:rFonts w:ascii="Arial" w:hAnsi="Arial" w:cs="Arial"/>
          <w:b/>
          <w:sz w:val="22"/>
          <w:szCs w:val="22"/>
        </w:rPr>
      </w:pPr>
      <w:r>
        <w:rPr>
          <w:rFonts w:ascii="Arial" w:hAnsi="Arial" w:cs="Arial"/>
          <w:b/>
          <w:sz w:val="22"/>
          <w:szCs w:val="22"/>
        </w:rPr>
        <w:t>3.B.3</w:t>
      </w:r>
      <w:r>
        <w:rPr>
          <w:rFonts w:ascii="Arial" w:hAnsi="Arial" w:cs="Arial"/>
          <w:b/>
          <w:sz w:val="22"/>
          <w:szCs w:val="22"/>
        </w:rPr>
        <w:tab/>
      </w:r>
      <w:r w:rsidRPr="0089684E">
        <w:rPr>
          <w:rFonts w:ascii="Arial" w:hAnsi="Arial" w:cs="Arial"/>
          <w:b/>
          <w:sz w:val="22"/>
          <w:szCs w:val="22"/>
        </w:rPr>
        <w:t>Policies on students’ rights and responsibilities, including those related to academic honesty and procedural rights, are clearly stated, well publicized, readily available, and implemented in a fair and consistent manner.</w:t>
      </w:r>
      <w:r>
        <w:rPr>
          <w:rFonts w:ascii="Arial" w:hAnsi="Arial" w:cs="Arial"/>
          <w:b/>
          <w:sz w:val="22"/>
          <w:szCs w:val="22"/>
        </w:rPr>
        <w:t xml:space="preserve"> </w:t>
      </w:r>
    </w:p>
    <w:p w:rsidR="007E57A0" w:rsidRDefault="007E57A0" w:rsidP="001B4D6A">
      <w:pPr>
        <w:rPr>
          <w:rFonts w:ascii="Arial" w:hAnsi="Arial" w:cs="Arial"/>
          <w:color w:val="0033CC"/>
          <w:sz w:val="22"/>
          <w:szCs w:val="22"/>
        </w:rPr>
      </w:pPr>
    </w:p>
    <w:p w:rsidR="007E57A0" w:rsidRDefault="007E57A0" w:rsidP="001B4D6A">
      <w:pPr>
        <w:rPr>
          <w:rFonts w:ascii="Arial" w:hAnsi="Arial" w:cs="Arial"/>
          <w:sz w:val="22"/>
          <w:szCs w:val="22"/>
        </w:rPr>
      </w:pPr>
      <w:r>
        <w:rPr>
          <w:rFonts w:ascii="Arial" w:hAnsi="Arial" w:cs="Arial"/>
          <w:sz w:val="22"/>
          <w:szCs w:val="22"/>
        </w:rPr>
        <w:t xml:space="preserve">Policies on student’s rights and responsibilities are published in the student handbook, </w:t>
      </w:r>
      <w:r w:rsidR="00DB465E">
        <w:rPr>
          <w:rFonts w:ascii="Arial" w:hAnsi="Arial" w:cs="Arial"/>
          <w:sz w:val="22"/>
          <w:szCs w:val="22"/>
        </w:rPr>
        <w:t xml:space="preserve">in the </w:t>
      </w:r>
      <w:r>
        <w:rPr>
          <w:rFonts w:ascii="Arial" w:hAnsi="Arial" w:cs="Arial"/>
          <w:sz w:val="22"/>
          <w:szCs w:val="22"/>
        </w:rPr>
        <w:t xml:space="preserve">college catalog, </w:t>
      </w:r>
      <w:r w:rsidR="00B14F9C">
        <w:rPr>
          <w:rFonts w:ascii="Arial" w:hAnsi="Arial" w:cs="Arial"/>
          <w:sz w:val="22"/>
          <w:szCs w:val="22"/>
        </w:rPr>
        <w:t xml:space="preserve">and in </w:t>
      </w:r>
      <w:r w:rsidR="00F65156">
        <w:rPr>
          <w:rFonts w:ascii="Arial" w:hAnsi="Arial" w:cs="Arial"/>
          <w:sz w:val="22"/>
          <w:szCs w:val="22"/>
        </w:rPr>
        <w:t xml:space="preserve">some </w:t>
      </w:r>
      <w:r w:rsidR="00B14F9C">
        <w:rPr>
          <w:rFonts w:ascii="Arial" w:hAnsi="Arial" w:cs="Arial"/>
          <w:sz w:val="22"/>
          <w:szCs w:val="22"/>
        </w:rPr>
        <w:t xml:space="preserve">course syllabi. </w:t>
      </w:r>
      <w:r>
        <w:rPr>
          <w:rFonts w:ascii="Arial" w:hAnsi="Arial" w:cs="Arial"/>
          <w:sz w:val="22"/>
          <w:szCs w:val="22"/>
        </w:rPr>
        <w:t>The student handbook is published every year an</w:t>
      </w:r>
      <w:r w:rsidR="00CC478E">
        <w:rPr>
          <w:rFonts w:ascii="Arial" w:hAnsi="Arial" w:cs="Arial"/>
          <w:sz w:val="22"/>
          <w:szCs w:val="22"/>
        </w:rPr>
        <w:t>d is distributed at orientation</w:t>
      </w:r>
      <w:r w:rsidR="00DB465E">
        <w:rPr>
          <w:rFonts w:ascii="Arial" w:hAnsi="Arial" w:cs="Arial"/>
          <w:sz w:val="22"/>
          <w:szCs w:val="22"/>
        </w:rPr>
        <w:t>.  It</w:t>
      </w:r>
      <w:r>
        <w:rPr>
          <w:rFonts w:ascii="Arial" w:hAnsi="Arial" w:cs="Arial"/>
          <w:sz w:val="22"/>
          <w:szCs w:val="22"/>
        </w:rPr>
        <w:t xml:space="preserve"> includes a yearly planner so that students are more li</w:t>
      </w:r>
      <w:r w:rsidR="00572E1A">
        <w:rPr>
          <w:rFonts w:ascii="Arial" w:hAnsi="Arial" w:cs="Arial"/>
          <w:sz w:val="22"/>
          <w:szCs w:val="22"/>
        </w:rPr>
        <w:t>kely to keep the publication in-</w:t>
      </w:r>
      <w:r>
        <w:rPr>
          <w:rFonts w:ascii="Arial" w:hAnsi="Arial" w:cs="Arial"/>
          <w:sz w:val="22"/>
          <w:szCs w:val="22"/>
        </w:rPr>
        <w:t xml:space="preserve">hand throughout the </w:t>
      </w:r>
      <w:r w:rsidRPr="00AE581B">
        <w:rPr>
          <w:rFonts w:ascii="Arial" w:hAnsi="Arial" w:cs="Arial"/>
          <w:sz w:val="22"/>
          <w:szCs w:val="22"/>
        </w:rPr>
        <w:t>year</w:t>
      </w:r>
      <w:r w:rsidRPr="009F6021">
        <w:rPr>
          <w:rFonts w:ascii="Arial" w:hAnsi="Arial" w:cs="Arial"/>
          <w:sz w:val="22"/>
          <w:szCs w:val="22"/>
        </w:rPr>
        <w:t>. (</w:t>
      </w:r>
      <w:r w:rsidR="00DB465E" w:rsidRPr="009F6021">
        <w:rPr>
          <w:rFonts w:ascii="Arial" w:hAnsi="Arial" w:cs="Arial"/>
          <w:sz w:val="22"/>
          <w:szCs w:val="22"/>
        </w:rPr>
        <w:t xml:space="preserve">See </w:t>
      </w:r>
      <w:r w:rsidR="000458CB">
        <w:rPr>
          <w:rFonts w:ascii="Arial" w:hAnsi="Arial" w:cs="Arial"/>
          <w:sz w:val="22"/>
          <w:szCs w:val="22"/>
        </w:rPr>
        <w:t>Exhibit 3.B.I</w:t>
      </w:r>
      <w:r w:rsidR="00D7481B" w:rsidRPr="009F6021">
        <w:rPr>
          <w:rFonts w:ascii="Arial" w:hAnsi="Arial" w:cs="Arial"/>
          <w:sz w:val="22"/>
          <w:szCs w:val="22"/>
        </w:rPr>
        <w:t>:</w:t>
      </w:r>
      <w:r w:rsidRPr="009F6021">
        <w:rPr>
          <w:rFonts w:ascii="Arial" w:hAnsi="Arial" w:cs="Arial"/>
          <w:sz w:val="22"/>
          <w:szCs w:val="22"/>
        </w:rPr>
        <w:t xml:space="preserve"> </w:t>
      </w:r>
      <w:hyperlink r:id="rId30" w:history="1">
        <w:r w:rsidRPr="00074FD9">
          <w:rPr>
            <w:rStyle w:val="Hyperlink"/>
            <w:rFonts w:ascii="Arial" w:hAnsi="Arial" w:cs="Arial"/>
            <w:i/>
            <w:sz w:val="22"/>
            <w:szCs w:val="22"/>
          </w:rPr>
          <w:t>Student Handbook</w:t>
        </w:r>
      </w:hyperlink>
      <w:r w:rsidR="009F6021" w:rsidRPr="00183A53">
        <w:rPr>
          <w:rFonts w:ascii="Arial" w:hAnsi="Arial" w:cs="Arial"/>
          <w:i/>
          <w:sz w:val="22"/>
          <w:szCs w:val="22"/>
        </w:rPr>
        <w:t>.</w:t>
      </w:r>
      <w:r w:rsidR="009F6021" w:rsidRPr="00D178B5">
        <w:rPr>
          <w:rFonts w:ascii="Arial" w:hAnsi="Arial" w:cs="Arial"/>
          <w:color w:val="0033CC"/>
          <w:sz w:val="22"/>
          <w:szCs w:val="22"/>
        </w:rPr>
        <w:t>)</w:t>
      </w:r>
      <w:r w:rsidR="00DB465E" w:rsidRPr="009F6021">
        <w:rPr>
          <w:rFonts w:ascii="Arial" w:hAnsi="Arial" w:cs="Arial"/>
          <w:sz w:val="22"/>
          <w:szCs w:val="22"/>
        </w:rPr>
        <w:t xml:space="preserve"> </w:t>
      </w:r>
    </w:p>
    <w:p w:rsidR="007E57A0" w:rsidRDefault="007E57A0" w:rsidP="001B4D6A">
      <w:pPr>
        <w:rPr>
          <w:rFonts w:ascii="Calibri" w:hAnsi="Calibri"/>
          <w:color w:val="002060"/>
          <w:sz w:val="20"/>
          <w:szCs w:val="20"/>
        </w:rPr>
      </w:pPr>
    </w:p>
    <w:p w:rsidR="007E57A0" w:rsidRDefault="007E57A0" w:rsidP="001B4D6A">
      <w:pPr>
        <w:rPr>
          <w:rFonts w:ascii="Arial" w:hAnsi="Arial" w:cs="Arial"/>
          <w:i/>
          <w:color w:val="0033CC"/>
          <w:sz w:val="22"/>
          <w:szCs w:val="22"/>
        </w:rPr>
      </w:pPr>
      <w:r>
        <w:rPr>
          <w:rFonts w:ascii="Arial" w:hAnsi="Arial" w:cs="Arial"/>
          <w:sz w:val="22"/>
          <w:szCs w:val="22"/>
        </w:rPr>
        <w:t>A student judiciary board, appointed by ASMT, is used to hear referred</w:t>
      </w:r>
      <w:r w:rsidRPr="00C841AA">
        <w:rPr>
          <w:rFonts w:ascii="Arial" w:hAnsi="Arial" w:cs="Arial"/>
          <w:sz w:val="22"/>
          <w:szCs w:val="22"/>
        </w:rPr>
        <w:t xml:space="preserve"> student conduct issues.  Any individual </w:t>
      </w:r>
      <w:r>
        <w:rPr>
          <w:rFonts w:ascii="Arial" w:hAnsi="Arial" w:cs="Arial"/>
          <w:sz w:val="22"/>
          <w:szCs w:val="22"/>
        </w:rPr>
        <w:t>who</w:t>
      </w:r>
      <w:r w:rsidRPr="00C841AA">
        <w:rPr>
          <w:rFonts w:ascii="Arial" w:hAnsi="Arial" w:cs="Arial"/>
          <w:sz w:val="22"/>
          <w:szCs w:val="22"/>
        </w:rPr>
        <w:t xml:space="preserve"> feel</w:t>
      </w:r>
      <w:r>
        <w:rPr>
          <w:rFonts w:ascii="Arial" w:hAnsi="Arial" w:cs="Arial"/>
          <w:sz w:val="22"/>
          <w:szCs w:val="22"/>
        </w:rPr>
        <w:t>s</w:t>
      </w:r>
      <w:r w:rsidRPr="00C841AA">
        <w:rPr>
          <w:rFonts w:ascii="Arial" w:hAnsi="Arial" w:cs="Arial"/>
          <w:sz w:val="22"/>
          <w:szCs w:val="22"/>
        </w:rPr>
        <w:t xml:space="preserve"> his or her rights have been infringed upon by student conduct may process a referral to Montana Tech’s Community Expectation Program.</w:t>
      </w:r>
      <w:r>
        <w:rPr>
          <w:rFonts w:ascii="Arial" w:hAnsi="Arial" w:cs="Arial"/>
          <w:sz w:val="22"/>
          <w:szCs w:val="22"/>
        </w:rPr>
        <w:t xml:space="preserve"> The</w:t>
      </w:r>
      <w:r w:rsidR="00B14F9C">
        <w:rPr>
          <w:rFonts w:ascii="Arial" w:hAnsi="Arial" w:cs="Arial"/>
          <w:sz w:val="22"/>
          <w:szCs w:val="22"/>
        </w:rPr>
        <w:t xml:space="preserve"> student judicial board hears an</w:t>
      </w:r>
      <w:r w:rsidR="00DF7740">
        <w:rPr>
          <w:rFonts w:ascii="Arial" w:hAnsi="Arial" w:cs="Arial"/>
          <w:sz w:val="22"/>
          <w:szCs w:val="22"/>
        </w:rPr>
        <w:t xml:space="preserve"> average of three to five cases per</w:t>
      </w:r>
      <w:r>
        <w:rPr>
          <w:rFonts w:ascii="Arial" w:hAnsi="Arial" w:cs="Arial"/>
          <w:sz w:val="22"/>
          <w:szCs w:val="22"/>
        </w:rPr>
        <w:t xml:space="preserve"> year.  </w:t>
      </w:r>
      <w:r w:rsidRPr="00BF1F88">
        <w:rPr>
          <w:rFonts w:ascii="Arial" w:hAnsi="Arial" w:cs="Arial"/>
          <w:sz w:val="22"/>
          <w:szCs w:val="22"/>
        </w:rPr>
        <w:t>Physical assaults, harassment, campus threats, drug/alcohol</w:t>
      </w:r>
      <w:r w:rsidR="00F65156">
        <w:rPr>
          <w:rFonts w:ascii="Arial" w:hAnsi="Arial" w:cs="Arial"/>
          <w:sz w:val="22"/>
          <w:szCs w:val="22"/>
        </w:rPr>
        <w:t>,</w:t>
      </w:r>
      <w:r w:rsidRPr="00BF1F88">
        <w:rPr>
          <w:rFonts w:ascii="Arial" w:hAnsi="Arial" w:cs="Arial"/>
          <w:sz w:val="22"/>
          <w:szCs w:val="22"/>
        </w:rPr>
        <w:t xml:space="preserve"> and network security violations are some examples of </w:t>
      </w:r>
      <w:r w:rsidR="00DF7740">
        <w:rPr>
          <w:rFonts w:ascii="Arial" w:hAnsi="Arial" w:cs="Arial"/>
          <w:sz w:val="22"/>
          <w:szCs w:val="22"/>
        </w:rPr>
        <w:t>prior</w:t>
      </w:r>
      <w:r w:rsidRPr="00BF1F88">
        <w:rPr>
          <w:rFonts w:ascii="Arial" w:hAnsi="Arial" w:cs="Arial"/>
          <w:sz w:val="22"/>
          <w:szCs w:val="22"/>
        </w:rPr>
        <w:t xml:space="preserve"> hearings.  </w:t>
      </w:r>
      <w:r w:rsidRPr="009F6021">
        <w:rPr>
          <w:rFonts w:ascii="Arial" w:hAnsi="Arial" w:cs="Arial"/>
          <w:sz w:val="22"/>
          <w:szCs w:val="22"/>
        </w:rPr>
        <w:t>(</w:t>
      </w:r>
      <w:r w:rsidR="00BE28A5" w:rsidRPr="009F6021">
        <w:rPr>
          <w:rFonts w:ascii="Arial" w:hAnsi="Arial" w:cs="Arial"/>
          <w:sz w:val="22"/>
          <w:szCs w:val="22"/>
        </w:rPr>
        <w:t xml:space="preserve">See </w:t>
      </w:r>
      <w:r w:rsidR="000458CB">
        <w:rPr>
          <w:rFonts w:ascii="Arial" w:hAnsi="Arial" w:cs="Arial"/>
          <w:sz w:val="22"/>
          <w:szCs w:val="22"/>
        </w:rPr>
        <w:t>Exhibit 3.B.III</w:t>
      </w:r>
      <w:r w:rsidR="00D7481B" w:rsidRPr="009F6021">
        <w:rPr>
          <w:rFonts w:ascii="Arial" w:hAnsi="Arial" w:cs="Arial"/>
          <w:sz w:val="22"/>
          <w:szCs w:val="22"/>
        </w:rPr>
        <w:t>:</w:t>
      </w:r>
      <w:r w:rsidRPr="009F6021">
        <w:rPr>
          <w:rFonts w:ascii="Arial" w:hAnsi="Arial" w:cs="Arial"/>
          <w:sz w:val="22"/>
          <w:szCs w:val="22"/>
        </w:rPr>
        <w:t xml:space="preserve"> </w:t>
      </w:r>
      <w:hyperlink r:id="rId31" w:history="1">
        <w:r w:rsidRPr="00331EC1">
          <w:rPr>
            <w:rStyle w:val="Hyperlink"/>
            <w:rFonts w:ascii="Arial" w:hAnsi="Arial" w:cs="Arial"/>
            <w:i/>
            <w:sz w:val="22"/>
            <w:szCs w:val="22"/>
          </w:rPr>
          <w:t>Community</w:t>
        </w:r>
      </w:hyperlink>
      <w:r w:rsidRPr="00331EC1">
        <w:rPr>
          <w:rFonts w:ascii="Arial" w:hAnsi="Arial" w:cs="Arial"/>
          <w:i/>
          <w:color w:val="0033CC"/>
          <w:sz w:val="22"/>
          <w:szCs w:val="22"/>
          <w:u w:val="single"/>
        </w:rPr>
        <w:t xml:space="preserve"> </w:t>
      </w:r>
      <w:hyperlink r:id="rId32" w:history="1">
        <w:r w:rsidRPr="00331EC1">
          <w:rPr>
            <w:rStyle w:val="Hyperlink"/>
            <w:rFonts w:ascii="Arial" w:hAnsi="Arial" w:cs="Arial"/>
            <w:i/>
            <w:sz w:val="22"/>
            <w:szCs w:val="22"/>
          </w:rPr>
          <w:t>Expectations Program</w:t>
        </w:r>
      </w:hyperlink>
      <w:r w:rsidR="00BD1617">
        <w:t>.</w:t>
      </w:r>
      <w:r w:rsidRPr="009F6021">
        <w:rPr>
          <w:rFonts w:ascii="Arial" w:hAnsi="Arial" w:cs="Arial"/>
          <w:sz w:val="22"/>
          <w:szCs w:val="22"/>
        </w:rPr>
        <w:t>)</w:t>
      </w:r>
    </w:p>
    <w:p w:rsidR="007E57A0" w:rsidRDefault="007E57A0" w:rsidP="001B4D6A">
      <w:pPr>
        <w:rPr>
          <w:rFonts w:ascii="Arial" w:hAnsi="Arial" w:cs="Arial"/>
          <w:color w:val="0033CC"/>
          <w:sz w:val="22"/>
          <w:szCs w:val="22"/>
        </w:rPr>
      </w:pPr>
    </w:p>
    <w:p w:rsidR="007E57A0" w:rsidRDefault="007E57A0" w:rsidP="001B4D6A">
      <w:pPr>
        <w:rPr>
          <w:rFonts w:ascii="Arial" w:hAnsi="Arial" w:cs="Arial"/>
          <w:sz w:val="22"/>
          <w:szCs w:val="22"/>
        </w:rPr>
      </w:pPr>
      <w:r w:rsidRPr="008E7794">
        <w:rPr>
          <w:rFonts w:ascii="Arial" w:hAnsi="Arial" w:cs="Arial"/>
          <w:sz w:val="22"/>
          <w:szCs w:val="22"/>
        </w:rPr>
        <w:t>The Academic Standards Committee, chaired by the Vice Chancellor for Academic Affairs</w:t>
      </w:r>
      <w:r w:rsidR="00DB465E">
        <w:rPr>
          <w:rFonts w:ascii="Arial" w:hAnsi="Arial" w:cs="Arial"/>
          <w:sz w:val="22"/>
          <w:szCs w:val="22"/>
        </w:rPr>
        <w:t>,</w:t>
      </w:r>
      <w:r w:rsidRPr="008E7794">
        <w:rPr>
          <w:rFonts w:ascii="Arial" w:hAnsi="Arial" w:cs="Arial"/>
          <w:sz w:val="22"/>
          <w:szCs w:val="22"/>
        </w:rPr>
        <w:t xml:space="preserve"> hears </w:t>
      </w:r>
      <w:r>
        <w:rPr>
          <w:rFonts w:ascii="Arial" w:hAnsi="Arial" w:cs="Arial"/>
          <w:sz w:val="22"/>
          <w:szCs w:val="22"/>
        </w:rPr>
        <w:t xml:space="preserve">a yearly average </w:t>
      </w:r>
      <w:r w:rsidRPr="00B269D3">
        <w:rPr>
          <w:rFonts w:ascii="Arial" w:hAnsi="Arial" w:cs="Arial"/>
          <w:sz w:val="22"/>
          <w:szCs w:val="22"/>
        </w:rPr>
        <w:t xml:space="preserve">of </w:t>
      </w:r>
      <w:r w:rsidR="006C55BB" w:rsidRPr="00B269D3">
        <w:rPr>
          <w:rFonts w:ascii="Arial" w:hAnsi="Arial" w:cs="Arial"/>
          <w:sz w:val="22"/>
          <w:szCs w:val="22"/>
        </w:rPr>
        <w:t>35</w:t>
      </w:r>
      <w:r w:rsidRPr="00B269D3">
        <w:rPr>
          <w:rFonts w:ascii="Arial" w:hAnsi="Arial" w:cs="Arial"/>
          <w:sz w:val="22"/>
          <w:szCs w:val="22"/>
        </w:rPr>
        <w:t xml:space="preserve"> formal</w:t>
      </w:r>
      <w:r w:rsidRPr="008E7794">
        <w:rPr>
          <w:rFonts w:ascii="Arial" w:hAnsi="Arial" w:cs="Arial"/>
          <w:sz w:val="22"/>
          <w:szCs w:val="22"/>
        </w:rPr>
        <w:t xml:space="preserve"> </w:t>
      </w:r>
      <w:r>
        <w:rPr>
          <w:rFonts w:ascii="Arial" w:hAnsi="Arial" w:cs="Arial"/>
          <w:sz w:val="22"/>
          <w:szCs w:val="22"/>
        </w:rPr>
        <w:t xml:space="preserve">academic suspension appeals, some </w:t>
      </w:r>
      <w:r w:rsidRPr="008E7794">
        <w:rPr>
          <w:rFonts w:ascii="Arial" w:hAnsi="Arial" w:cs="Arial"/>
          <w:sz w:val="22"/>
          <w:szCs w:val="22"/>
        </w:rPr>
        <w:t>grade appeals</w:t>
      </w:r>
      <w:r>
        <w:rPr>
          <w:rFonts w:ascii="Arial" w:hAnsi="Arial" w:cs="Arial"/>
          <w:sz w:val="22"/>
          <w:szCs w:val="22"/>
        </w:rPr>
        <w:t>,</w:t>
      </w:r>
      <w:r w:rsidRPr="008E7794">
        <w:rPr>
          <w:rFonts w:ascii="Arial" w:hAnsi="Arial" w:cs="Arial"/>
          <w:sz w:val="22"/>
          <w:szCs w:val="22"/>
        </w:rPr>
        <w:t xml:space="preserve"> </w:t>
      </w:r>
      <w:r>
        <w:rPr>
          <w:rFonts w:ascii="Arial" w:hAnsi="Arial" w:cs="Arial"/>
          <w:sz w:val="22"/>
          <w:szCs w:val="22"/>
        </w:rPr>
        <w:t xml:space="preserve">and </w:t>
      </w:r>
      <w:r w:rsidR="00BE28A5">
        <w:rPr>
          <w:rFonts w:ascii="Arial" w:hAnsi="Arial" w:cs="Arial"/>
          <w:sz w:val="22"/>
          <w:szCs w:val="22"/>
        </w:rPr>
        <w:t xml:space="preserve">some </w:t>
      </w:r>
      <w:r w:rsidRPr="008E7794">
        <w:rPr>
          <w:rFonts w:ascii="Arial" w:hAnsi="Arial" w:cs="Arial"/>
          <w:sz w:val="22"/>
          <w:szCs w:val="22"/>
        </w:rPr>
        <w:t>cases involving academic dishonesty.</w:t>
      </w:r>
      <w:r>
        <w:rPr>
          <w:rFonts w:ascii="Arial" w:hAnsi="Arial" w:cs="Arial"/>
          <w:sz w:val="22"/>
          <w:szCs w:val="22"/>
        </w:rPr>
        <w:t xml:space="preserve"> </w:t>
      </w:r>
    </w:p>
    <w:p w:rsidR="007E57A0" w:rsidRDefault="007E57A0" w:rsidP="001B4D6A">
      <w:pPr>
        <w:rPr>
          <w:rFonts w:ascii="Arial" w:hAnsi="Arial" w:cs="Arial"/>
          <w:b/>
          <w:sz w:val="22"/>
          <w:szCs w:val="22"/>
        </w:rPr>
      </w:pPr>
    </w:p>
    <w:p w:rsidR="007E57A0" w:rsidRDefault="007E57A0" w:rsidP="001B4D6A">
      <w:pPr>
        <w:rPr>
          <w:rFonts w:ascii="Arial" w:hAnsi="Arial" w:cs="Arial"/>
          <w:b/>
          <w:sz w:val="22"/>
          <w:szCs w:val="22"/>
        </w:rPr>
      </w:pPr>
      <w:r>
        <w:rPr>
          <w:rFonts w:ascii="Arial" w:hAnsi="Arial" w:cs="Arial"/>
          <w:b/>
          <w:sz w:val="22"/>
          <w:szCs w:val="22"/>
        </w:rPr>
        <w:t xml:space="preserve">3.B.4 </w:t>
      </w:r>
      <w:r>
        <w:rPr>
          <w:rFonts w:ascii="Arial" w:hAnsi="Arial" w:cs="Arial"/>
          <w:b/>
          <w:sz w:val="22"/>
          <w:szCs w:val="22"/>
        </w:rPr>
        <w:tab/>
        <w:t>The institution makes adequate provision for the safety and security of its students and their property. Information concerning student safety is published and widely distributed.</w:t>
      </w:r>
    </w:p>
    <w:p w:rsidR="007E57A0" w:rsidRDefault="007E57A0" w:rsidP="001B4D6A">
      <w:pPr>
        <w:rPr>
          <w:rFonts w:ascii="Arial" w:hAnsi="Arial" w:cs="Arial"/>
          <w:b/>
          <w:sz w:val="22"/>
          <w:szCs w:val="22"/>
        </w:rPr>
      </w:pPr>
    </w:p>
    <w:p w:rsidR="00F65156" w:rsidRDefault="007E57A0" w:rsidP="001B4D6A">
      <w:pPr>
        <w:rPr>
          <w:rFonts w:ascii="Arial" w:hAnsi="Arial"/>
          <w:sz w:val="22"/>
          <w:lang w:eastAsia="en-US"/>
        </w:rPr>
      </w:pPr>
      <w:r>
        <w:rPr>
          <w:rFonts w:ascii="Arial" w:hAnsi="Arial" w:cs="Arial"/>
          <w:sz w:val="22"/>
          <w:szCs w:val="22"/>
        </w:rPr>
        <w:t>S</w:t>
      </w:r>
      <w:r w:rsidRPr="00CA41F8">
        <w:rPr>
          <w:rFonts w:ascii="Arial" w:hAnsi="Arial" w:cs="Arial"/>
          <w:sz w:val="22"/>
          <w:szCs w:val="22"/>
        </w:rPr>
        <w:t xml:space="preserve">tudents </w:t>
      </w:r>
      <w:r>
        <w:rPr>
          <w:rFonts w:ascii="Arial" w:hAnsi="Arial" w:cs="Arial"/>
          <w:sz w:val="22"/>
          <w:szCs w:val="22"/>
        </w:rPr>
        <w:t>feel the campus is safe and secure</w:t>
      </w:r>
      <w:r w:rsidR="00BE28A5">
        <w:rPr>
          <w:rFonts w:ascii="Arial" w:hAnsi="Arial" w:cs="Arial"/>
          <w:sz w:val="22"/>
          <w:szCs w:val="22"/>
        </w:rPr>
        <w:t>,</w:t>
      </w:r>
      <w:r>
        <w:rPr>
          <w:rFonts w:ascii="Arial" w:hAnsi="Arial" w:cs="Arial"/>
          <w:sz w:val="22"/>
          <w:szCs w:val="22"/>
        </w:rPr>
        <w:t xml:space="preserve"> and Montana Tech is</w:t>
      </w:r>
      <w:r w:rsidRPr="00F939F7">
        <w:rPr>
          <w:rFonts w:ascii="Arial" w:hAnsi="Arial"/>
          <w:sz w:val="22"/>
          <w:lang w:eastAsia="en-US"/>
        </w:rPr>
        <w:t xml:space="preserve"> committed to providing a safe working </w:t>
      </w:r>
      <w:r w:rsidR="00BE28A5">
        <w:rPr>
          <w:rFonts w:ascii="Arial" w:hAnsi="Arial"/>
          <w:sz w:val="22"/>
          <w:lang w:eastAsia="en-US"/>
        </w:rPr>
        <w:t>and learning environment for</w:t>
      </w:r>
      <w:r w:rsidRPr="00F939F7">
        <w:rPr>
          <w:rFonts w:ascii="Arial" w:hAnsi="Arial"/>
          <w:sz w:val="22"/>
          <w:lang w:eastAsia="en-US"/>
        </w:rPr>
        <w:t xml:space="preserve"> students, faculty</w:t>
      </w:r>
      <w:r w:rsidR="00F65156">
        <w:rPr>
          <w:rFonts w:ascii="Arial" w:hAnsi="Arial"/>
          <w:sz w:val="22"/>
          <w:lang w:eastAsia="en-US"/>
        </w:rPr>
        <w:t>,</w:t>
      </w:r>
      <w:r w:rsidRPr="00F939F7">
        <w:rPr>
          <w:rFonts w:ascii="Arial" w:hAnsi="Arial"/>
          <w:sz w:val="22"/>
          <w:lang w:eastAsia="en-US"/>
        </w:rPr>
        <w:t xml:space="preserve"> and staff.</w:t>
      </w:r>
      <w:r>
        <w:rPr>
          <w:rFonts w:ascii="Arial" w:hAnsi="Arial"/>
          <w:sz w:val="22"/>
          <w:lang w:eastAsia="en-US"/>
        </w:rPr>
        <w:t xml:space="preserve"> </w:t>
      </w:r>
      <w:r w:rsidR="00BE28A5">
        <w:rPr>
          <w:rFonts w:ascii="Arial" w:hAnsi="Arial"/>
          <w:sz w:val="22"/>
          <w:lang w:eastAsia="en-US"/>
        </w:rPr>
        <w:t>Figure</w:t>
      </w:r>
      <w:r w:rsidR="000458CB">
        <w:rPr>
          <w:rFonts w:ascii="Arial" w:hAnsi="Arial"/>
          <w:sz w:val="22"/>
          <w:lang w:eastAsia="en-US"/>
        </w:rPr>
        <w:t xml:space="preserve"> 3.B.2</w:t>
      </w:r>
      <w:r w:rsidRPr="00621873">
        <w:rPr>
          <w:rFonts w:ascii="Arial" w:hAnsi="Arial"/>
          <w:sz w:val="22"/>
          <w:lang w:eastAsia="en-US"/>
        </w:rPr>
        <w:t xml:space="preserve"> depicts student responses on the Noel-Levitz Student Satisfaction </w:t>
      </w:r>
      <w:r w:rsidR="00E15A45">
        <w:rPr>
          <w:rFonts w:ascii="Arial" w:hAnsi="Arial"/>
          <w:sz w:val="22"/>
          <w:lang w:eastAsia="en-US"/>
        </w:rPr>
        <w:t xml:space="preserve">Inventory (SSI) </w:t>
      </w:r>
      <w:r w:rsidRPr="00621873">
        <w:rPr>
          <w:rFonts w:ascii="Arial" w:hAnsi="Arial"/>
          <w:sz w:val="22"/>
          <w:lang w:eastAsia="en-US"/>
        </w:rPr>
        <w:t>surveys.  Students consistently report above</w:t>
      </w:r>
      <w:r w:rsidR="00F65156">
        <w:rPr>
          <w:rFonts w:ascii="Arial" w:hAnsi="Arial"/>
          <w:sz w:val="22"/>
          <w:lang w:eastAsia="en-US"/>
        </w:rPr>
        <w:t xml:space="preserve"> national averages compared to f</w:t>
      </w:r>
      <w:r w:rsidRPr="00621873">
        <w:rPr>
          <w:rFonts w:ascii="Arial" w:hAnsi="Arial"/>
          <w:sz w:val="22"/>
          <w:lang w:eastAsia="en-US"/>
        </w:rPr>
        <w:t>o</w:t>
      </w:r>
      <w:r w:rsidR="00F65156">
        <w:rPr>
          <w:rFonts w:ascii="Arial" w:hAnsi="Arial"/>
          <w:sz w:val="22"/>
          <w:lang w:eastAsia="en-US"/>
        </w:rPr>
        <w:t>ur-year public i</w:t>
      </w:r>
      <w:r w:rsidR="00BE28A5">
        <w:rPr>
          <w:rFonts w:ascii="Arial" w:hAnsi="Arial"/>
          <w:sz w:val="22"/>
          <w:lang w:eastAsia="en-US"/>
        </w:rPr>
        <w:t>nstitutions because</w:t>
      </w:r>
      <w:r w:rsidRPr="00621873">
        <w:rPr>
          <w:rFonts w:ascii="Arial" w:hAnsi="Arial"/>
          <w:sz w:val="22"/>
          <w:lang w:eastAsia="en-US"/>
        </w:rPr>
        <w:t xml:space="preserve"> they feel the campus is safe and secure.</w:t>
      </w:r>
    </w:p>
    <w:p w:rsidR="007E57A0" w:rsidRDefault="000F0257" w:rsidP="001B4D6A">
      <w:pPr>
        <w:rPr>
          <w:rFonts w:ascii="Arial" w:hAnsi="Arial" w:cs="Arial"/>
          <w:b/>
          <w:sz w:val="22"/>
          <w:szCs w:val="22"/>
        </w:rPr>
      </w:pPr>
      <w:r>
        <w:rPr>
          <w:rFonts w:ascii="Arial" w:hAnsi="Arial" w:cs="Arial"/>
          <w:b/>
          <w:sz w:val="22"/>
          <w:szCs w:val="22"/>
        </w:rPr>
        <w:t xml:space="preserve">       </w:t>
      </w:r>
    </w:p>
    <w:p w:rsidR="007E57A0" w:rsidRDefault="00723B8A" w:rsidP="001B4D6A">
      <w:pPr>
        <w:jc w:val="center"/>
        <w:rPr>
          <w:rFonts w:ascii="Arial" w:hAnsi="Arial"/>
          <w:sz w:val="22"/>
          <w:lang w:eastAsia="en-US"/>
        </w:rPr>
      </w:pPr>
      <w:r w:rsidRPr="00723B8A">
        <w:rPr>
          <w:noProof/>
          <w:lang w:eastAsia="en-US"/>
        </w:rPr>
        <w:drawing>
          <wp:inline distT="0" distB="0" distL="0" distR="0">
            <wp:extent cx="4687910" cy="320040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BE28A5" w:rsidRDefault="00D7481B" w:rsidP="001B4D6A">
      <w:pPr>
        <w:jc w:val="center"/>
        <w:rPr>
          <w:rFonts w:ascii="Arial" w:hAnsi="Arial"/>
          <w:sz w:val="22"/>
          <w:szCs w:val="22"/>
          <w:lang w:eastAsia="en-US"/>
        </w:rPr>
      </w:pPr>
      <w:r>
        <w:rPr>
          <w:rFonts w:ascii="Arial" w:hAnsi="Arial" w:cs="Arial"/>
          <w:b/>
          <w:sz w:val="22"/>
          <w:szCs w:val="22"/>
        </w:rPr>
        <w:t>Figure 3.B.</w:t>
      </w:r>
      <w:r w:rsidR="000458CB">
        <w:rPr>
          <w:rFonts w:ascii="Arial" w:hAnsi="Arial" w:cs="Arial"/>
          <w:b/>
          <w:sz w:val="22"/>
          <w:szCs w:val="22"/>
        </w:rPr>
        <w:t>2</w:t>
      </w:r>
      <w:r>
        <w:rPr>
          <w:rFonts w:ascii="Arial" w:hAnsi="Arial" w:cs="Arial"/>
          <w:b/>
          <w:sz w:val="22"/>
          <w:szCs w:val="22"/>
        </w:rPr>
        <w:t>:</w:t>
      </w:r>
      <w:r w:rsidR="00BE28A5">
        <w:rPr>
          <w:rFonts w:ascii="Arial" w:hAnsi="Arial" w:cs="Arial"/>
          <w:b/>
          <w:sz w:val="22"/>
          <w:szCs w:val="22"/>
        </w:rPr>
        <w:t xml:space="preserve"> </w:t>
      </w:r>
      <w:r w:rsidR="00E15A45">
        <w:rPr>
          <w:rFonts w:ascii="Arial" w:hAnsi="Arial" w:cs="Arial"/>
          <w:b/>
          <w:sz w:val="22"/>
          <w:szCs w:val="22"/>
        </w:rPr>
        <w:t>S</w:t>
      </w:r>
      <w:r>
        <w:rPr>
          <w:rFonts w:ascii="Arial" w:hAnsi="Arial" w:cs="Arial"/>
          <w:b/>
          <w:sz w:val="22"/>
          <w:szCs w:val="22"/>
        </w:rPr>
        <w:t>tudent Satisfaction</w:t>
      </w:r>
      <w:r w:rsidR="00E15A45">
        <w:rPr>
          <w:rFonts w:ascii="Arial" w:hAnsi="Arial" w:cs="Arial"/>
          <w:b/>
          <w:sz w:val="22"/>
          <w:szCs w:val="22"/>
        </w:rPr>
        <w:t xml:space="preserve"> Surveys</w:t>
      </w:r>
    </w:p>
    <w:p w:rsidR="00071DB2" w:rsidRDefault="00071DB2" w:rsidP="001B4D6A">
      <w:pPr>
        <w:rPr>
          <w:rFonts w:ascii="Arial" w:hAnsi="Arial"/>
          <w:sz w:val="22"/>
          <w:szCs w:val="22"/>
          <w:lang w:eastAsia="en-US"/>
        </w:rPr>
      </w:pPr>
    </w:p>
    <w:p w:rsidR="007E57A0" w:rsidRDefault="007E57A0" w:rsidP="001B4D6A">
      <w:pPr>
        <w:rPr>
          <w:rFonts w:ascii="Arial" w:hAnsi="Arial"/>
          <w:sz w:val="22"/>
          <w:szCs w:val="22"/>
          <w:lang w:eastAsia="en-US"/>
        </w:rPr>
      </w:pPr>
      <w:r w:rsidRPr="00F939F7">
        <w:rPr>
          <w:rFonts w:ascii="Arial" w:hAnsi="Arial"/>
          <w:sz w:val="22"/>
          <w:szCs w:val="22"/>
          <w:lang w:eastAsia="en-US"/>
        </w:rPr>
        <w:t>The Safety Committee</w:t>
      </w:r>
      <w:r>
        <w:rPr>
          <w:rFonts w:ascii="Arial" w:hAnsi="Arial"/>
          <w:sz w:val="22"/>
          <w:szCs w:val="22"/>
          <w:lang w:eastAsia="en-US"/>
        </w:rPr>
        <w:t>, comprised of faculty, staff</w:t>
      </w:r>
      <w:r w:rsidR="00F65156">
        <w:rPr>
          <w:rFonts w:ascii="Arial" w:hAnsi="Arial"/>
          <w:sz w:val="22"/>
          <w:szCs w:val="22"/>
          <w:lang w:eastAsia="en-US"/>
        </w:rPr>
        <w:t>,</w:t>
      </w:r>
      <w:r>
        <w:rPr>
          <w:rFonts w:ascii="Arial" w:hAnsi="Arial"/>
          <w:sz w:val="22"/>
          <w:szCs w:val="22"/>
          <w:lang w:eastAsia="en-US"/>
        </w:rPr>
        <w:t xml:space="preserve"> and students,</w:t>
      </w:r>
      <w:r w:rsidRPr="00F939F7">
        <w:rPr>
          <w:rFonts w:ascii="Arial" w:hAnsi="Arial"/>
          <w:sz w:val="22"/>
          <w:szCs w:val="22"/>
          <w:lang w:eastAsia="en-US"/>
        </w:rPr>
        <w:t xml:space="preserve"> </w:t>
      </w:r>
      <w:r w:rsidR="00E15A45">
        <w:rPr>
          <w:rFonts w:ascii="Arial" w:hAnsi="Arial"/>
          <w:sz w:val="22"/>
          <w:szCs w:val="22"/>
          <w:lang w:eastAsia="en-US"/>
        </w:rPr>
        <w:t>obtained</w:t>
      </w:r>
      <w:r w:rsidRPr="00F939F7">
        <w:rPr>
          <w:rFonts w:ascii="Arial" w:hAnsi="Arial"/>
          <w:sz w:val="22"/>
          <w:szCs w:val="22"/>
          <w:lang w:eastAsia="en-US"/>
        </w:rPr>
        <w:t xml:space="preserve"> </w:t>
      </w:r>
      <w:r w:rsidRPr="00C74C86">
        <w:rPr>
          <w:rFonts w:ascii="Arial" w:hAnsi="Arial"/>
          <w:sz w:val="22"/>
          <w:szCs w:val="22"/>
          <w:lang w:eastAsia="en-US"/>
        </w:rPr>
        <w:t>funding for</w:t>
      </w:r>
      <w:r w:rsidR="00BD1617" w:rsidRPr="00C74C86">
        <w:rPr>
          <w:rFonts w:ascii="Arial" w:hAnsi="Arial"/>
          <w:sz w:val="22"/>
          <w:szCs w:val="22"/>
          <w:lang w:eastAsia="en-US"/>
        </w:rPr>
        <w:t xml:space="preserve"> several safety improvements including</w:t>
      </w:r>
      <w:r w:rsidRPr="00C74C86">
        <w:rPr>
          <w:rFonts w:ascii="Arial" w:hAnsi="Arial"/>
          <w:sz w:val="22"/>
          <w:szCs w:val="22"/>
          <w:lang w:eastAsia="en-US"/>
        </w:rPr>
        <w:t xml:space="preserve"> the purchase of Automated External Defibrillator</w:t>
      </w:r>
      <w:r>
        <w:rPr>
          <w:rFonts w:ascii="Arial" w:hAnsi="Arial"/>
          <w:sz w:val="22"/>
          <w:szCs w:val="22"/>
          <w:lang w:eastAsia="en-US"/>
        </w:rPr>
        <w:t>s (</w:t>
      </w:r>
      <w:r w:rsidR="00F65156">
        <w:rPr>
          <w:rFonts w:ascii="Arial" w:hAnsi="Arial"/>
          <w:sz w:val="22"/>
          <w:szCs w:val="22"/>
          <w:lang w:eastAsia="en-US"/>
        </w:rPr>
        <w:t>AED)</w:t>
      </w:r>
      <w:r w:rsidRPr="00621873">
        <w:rPr>
          <w:rFonts w:ascii="Arial" w:hAnsi="Arial"/>
          <w:sz w:val="22"/>
          <w:szCs w:val="22"/>
          <w:lang w:eastAsia="en-US"/>
        </w:rPr>
        <w:t>, some additional exterior lighting for safety and</w:t>
      </w:r>
      <w:r w:rsidRPr="00F939F7">
        <w:rPr>
          <w:rFonts w:ascii="Arial" w:hAnsi="Arial"/>
          <w:sz w:val="22"/>
          <w:szCs w:val="22"/>
          <w:lang w:eastAsia="en-US"/>
        </w:rPr>
        <w:t xml:space="preserve"> security, for changing the type of locks on classroom doors, and </w:t>
      </w:r>
      <w:r>
        <w:rPr>
          <w:rFonts w:ascii="Arial" w:hAnsi="Arial"/>
          <w:sz w:val="22"/>
          <w:szCs w:val="22"/>
          <w:lang w:eastAsia="en-US"/>
        </w:rPr>
        <w:t xml:space="preserve">for </w:t>
      </w:r>
      <w:r w:rsidR="00873AB8">
        <w:rPr>
          <w:rFonts w:ascii="Arial" w:hAnsi="Arial"/>
          <w:sz w:val="22"/>
          <w:szCs w:val="22"/>
          <w:lang w:eastAsia="en-US"/>
        </w:rPr>
        <w:t>a</w:t>
      </w:r>
      <w:r w:rsidRPr="00F939F7">
        <w:rPr>
          <w:rFonts w:ascii="Arial" w:hAnsi="Arial"/>
          <w:sz w:val="22"/>
          <w:szCs w:val="22"/>
          <w:lang w:eastAsia="en-US"/>
        </w:rPr>
        <w:t xml:space="preserve"> </w:t>
      </w:r>
      <w:r w:rsidRPr="00C54E65">
        <w:rPr>
          <w:rFonts w:ascii="Arial" w:hAnsi="Arial"/>
          <w:sz w:val="22"/>
          <w:szCs w:val="22"/>
          <w:lang w:eastAsia="en-US"/>
        </w:rPr>
        <w:t>new outdoor siren/PA system.</w:t>
      </w:r>
      <w:r w:rsidRPr="0040174D">
        <w:rPr>
          <w:rFonts w:ascii="Arial" w:hAnsi="Arial"/>
          <w:color w:val="000000" w:themeColor="text1"/>
          <w:sz w:val="22"/>
          <w:szCs w:val="22"/>
          <w:lang w:eastAsia="en-US"/>
        </w:rPr>
        <w:t xml:space="preserve"> In</w:t>
      </w:r>
      <w:r w:rsidRPr="00B307FF">
        <w:rPr>
          <w:rFonts w:ascii="Arial" w:hAnsi="Arial"/>
          <w:color w:val="0033CC"/>
          <w:sz w:val="22"/>
          <w:szCs w:val="22"/>
          <w:lang w:eastAsia="en-US"/>
        </w:rPr>
        <w:t xml:space="preserve"> </w:t>
      </w:r>
      <w:r w:rsidR="00F65156">
        <w:rPr>
          <w:rFonts w:ascii="Arial" w:hAnsi="Arial"/>
          <w:sz w:val="22"/>
          <w:szCs w:val="22"/>
          <w:lang w:eastAsia="en-US"/>
        </w:rPr>
        <w:t>S</w:t>
      </w:r>
      <w:r w:rsidRPr="00BF1F88">
        <w:rPr>
          <w:rFonts w:ascii="Arial" w:hAnsi="Arial"/>
          <w:sz w:val="22"/>
          <w:szCs w:val="22"/>
          <w:lang w:eastAsia="en-US"/>
        </w:rPr>
        <w:t>ummer 2007, over $590,593</w:t>
      </w:r>
      <w:r w:rsidR="00E15A45">
        <w:rPr>
          <w:rFonts w:ascii="Arial" w:hAnsi="Arial"/>
          <w:sz w:val="22"/>
          <w:szCs w:val="22"/>
          <w:lang w:eastAsia="en-US"/>
        </w:rPr>
        <w:t xml:space="preserve"> was spent on</w:t>
      </w:r>
      <w:r w:rsidRPr="00BF1F88">
        <w:rPr>
          <w:rFonts w:ascii="Arial" w:hAnsi="Arial"/>
          <w:sz w:val="22"/>
          <w:szCs w:val="22"/>
          <w:lang w:eastAsia="en-US"/>
        </w:rPr>
        <w:t xml:space="preserve"> a fire su</w:t>
      </w:r>
      <w:r w:rsidR="00F65156">
        <w:rPr>
          <w:rFonts w:ascii="Arial" w:hAnsi="Arial"/>
          <w:sz w:val="22"/>
          <w:szCs w:val="22"/>
          <w:lang w:eastAsia="en-US"/>
        </w:rPr>
        <w:t>ppression sprinkling system in apartment h</w:t>
      </w:r>
      <w:r w:rsidRPr="00BF1F88">
        <w:rPr>
          <w:rFonts w:ascii="Arial" w:hAnsi="Arial"/>
          <w:sz w:val="22"/>
          <w:szCs w:val="22"/>
          <w:lang w:eastAsia="en-US"/>
        </w:rPr>
        <w:t>ousing.  Most recently, two driver feedback</w:t>
      </w:r>
      <w:r w:rsidRPr="00C54E65">
        <w:rPr>
          <w:rFonts w:ascii="Arial" w:hAnsi="Arial"/>
          <w:sz w:val="22"/>
          <w:szCs w:val="22"/>
          <w:lang w:eastAsia="en-US"/>
        </w:rPr>
        <w:t xml:space="preserve"> </w:t>
      </w:r>
      <w:r w:rsidRPr="00C54E65">
        <w:rPr>
          <w:rFonts w:ascii="Arial" w:hAnsi="Arial"/>
          <w:sz w:val="22"/>
          <w:szCs w:val="22"/>
          <w:lang w:eastAsia="en-US"/>
        </w:rPr>
        <w:lastRenderedPageBreak/>
        <w:t xml:space="preserve">radar signs </w:t>
      </w:r>
      <w:r w:rsidR="00E15A45">
        <w:rPr>
          <w:rFonts w:ascii="Arial" w:hAnsi="Arial"/>
          <w:sz w:val="22"/>
          <w:szCs w:val="22"/>
          <w:lang w:eastAsia="en-US"/>
        </w:rPr>
        <w:t>were placed</w:t>
      </w:r>
      <w:r w:rsidRPr="00C54E65">
        <w:rPr>
          <w:rFonts w:ascii="Arial" w:hAnsi="Arial"/>
          <w:sz w:val="22"/>
          <w:szCs w:val="22"/>
          <w:lang w:eastAsia="en-US"/>
        </w:rPr>
        <w:t xml:space="preserve"> on the main street through campus to </w:t>
      </w:r>
      <w:r w:rsidR="00E15A45">
        <w:rPr>
          <w:rFonts w:ascii="Arial" w:hAnsi="Arial"/>
          <w:sz w:val="22"/>
          <w:szCs w:val="22"/>
          <w:lang w:eastAsia="en-US"/>
        </w:rPr>
        <w:t xml:space="preserve">reduce </w:t>
      </w:r>
      <w:r w:rsidRPr="00C54E65">
        <w:rPr>
          <w:rFonts w:ascii="Arial" w:hAnsi="Arial"/>
          <w:sz w:val="22"/>
          <w:szCs w:val="22"/>
          <w:lang w:eastAsia="en-US"/>
        </w:rPr>
        <w:t xml:space="preserve">speeding on </w:t>
      </w:r>
      <w:r w:rsidRPr="00DE2862">
        <w:rPr>
          <w:rFonts w:ascii="Arial" w:hAnsi="Arial"/>
          <w:sz w:val="22"/>
          <w:szCs w:val="22"/>
          <w:lang w:eastAsia="en-US"/>
        </w:rPr>
        <w:t xml:space="preserve">campus. The signs were operational </w:t>
      </w:r>
      <w:r w:rsidR="00F65156">
        <w:rPr>
          <w:rFonts w:ascii="Arial" w:hAnsi="Arial"/>
          <w:sz w:val="22"/>
          <w:szCs w:val="22"/>
          <w:lang w:eastAsia="en-US"/>
        </w:rPr>
        <w:t>in S</w:t>
      </w:r>
      <w:r w:rsidR="00DF7740">
        <w:rPr>
          <w:rFonts w:ascii="Arial" w:hAnsi="Arial"/>
          <w:sz w:val="22"/>
          <w:szCs w:val="22"/>
          <w:lang w:eastAsia="en-US"/>
        </w:rPr>
        <w:t>ummer of</w:t>
      </w:r>
      <w:r w:rsidRPr="00DE2862">
        <w:rPr>
          <w:rFonts w:ascii="Arial" w:hAnsi="Arial"/>
          <w:sz w:val="22"/>
          <w:szCs w:val="22"/>
          <w:lang w:eastAsia="en-US"/>
        </w:rPr>
        <w:t xml:space="preserve"> 2009.</w:t>
      </w:r>
    </w:p>
    <w:p w:rsidR="007E57A0" w:rsidRPr="00816567" w:rsidRDefault="007E57A0" w:rsidP="001B4D6A">
      <w:pPr>
        <w:rPr>
          <w:rFonts w:ascii="Arial" w:hAnsi="Arial"/>
          <w:sz w:val="22"/>
          <w:szCs w:val="22"/>
          <w:lang w:eastAsia="en-US"/>
        </w:rPr>
      </w:pPr>
    </w:p>
    <w:p w:rsidR="007E57A0" w:rsidRDefault="007E57A0" w:rsidP="001B4D6A">
      <w:pPr>
        <w:autoSpaceDE w:val="0"/>
        <w:autoSpaceDN w:val="0"/>
        <w:adjustRightInd w:val="0"/>
        <w:rPr>
          <w:rFonts w:ascii="Arial" w:hAnsi="Arial" w:cs="Arial"/>
          <w:sz w:val="22"/>
          <w:szCs w:val="22"/>
        </w:rPr>
      </w:pPr>
      <w:r w:rsidRPr="00CE4454">
        <w:rPr>
          <w:rFonts w:ascii="Arial" w:hAnsi="Arial" w:cs="Arial"/>
          <w:sz w:val="22"/>
          <w:szCs w:val="22"/>
        </w:rPr>
        <w:t>All students who are enrolled in a lab where hazardous materials are used or</w:t>
      </w:r>
      <w:r>
        <w:rPr>
          <w:rFonts w:ascii="Arial" w:hAnsi="Arial" w:cs="Arial"/>
          <w:sz w:val="22"/>
          <w:szCs w:val="22"/>
        </w:rPr>
        <w:t xml:space="preserve"> where</w:t>
      </w:r>
      <w:r w:rsidRPr="00CE4454">
        <w:rPr>
          <w:rFonts w:ascii="Arial" w:hAnsi="Arial" w:cs="Arial"/>
          <w:sz w:val="22"/>
          <w:szCs w:val="22"/>
        </w:rPr>
        <w:t xml:space="preserve"> a hazardous environm</w:t>
      </w:r>
      <w:r w:rsidR="00F65156">
        <w:rPr>
          <w:rFonts w:ascii="Arial" w:hAnsi="Arial" w:cs="Arial"/>
          <w:sz w:val="22"/>
          <w:szCs w:val="22"/>
        </w:rPr>
        <w:t>ent exists are required to do</w:t>
      </w:r>
      <w:r w:rsidRPr="00CE4454">
        <w:rPr>
          <w:rFonts w:ascii="Arial" w:hAnsi="Arial" w:cs="Arial"/>
          <w:sz w:val="22"/>
          <w:szCs w:val="22"/>
        </w:rPr>
        <w:t xml:space="preserve"> online lab safety training every semester. The program is run through Blackboard, and instructors require the students to complete the training and pass a test with a 90 percent before they are allowed to work in the laboratory. Records are maintained in the </w:t>
      </w:r>
      <w:r w:rsidR="00055814">
        <w:rPr>
          <w:rFonts w:ascii="Arial" w:hAnsi="Arial" w:cs="Arial"/>
          <w:sz w:val="22"/>
          <w:szCs w:val="22"/>
        </w:rPr>
        <w:t>Environmental Health &amp; Safety</w:t>
      </w:r>
      <w:r w:rsidR="00873AB8">
        <w:rPr>
          <w:rFonts w:ascii="Arial" w:hAnsi="Arial" w:cs="Arial"/>
          <w:sz w:val="22"/>
          <w:szCs w:val="22"/>
        </w:rPr>
        <w:t xml:space="preserve"> O</w:t>
      </w:r>
      <w:r w:rsidRPr="00CE4454">
        <w:rPr>
          <w:rFonts w:ascii="Arial" w:hAnsi="Arial" w:cs="Arial"/>
          <w:sz w:val="22"/>
          <w:szCs w:val="22"/>
        </w:rPr>
        <w:t>ffice.</w:t>
      </w:r>
    </w:p>
    <w:p w:rsidR="007E57A0" w:rsidRPr="00CE4454" w:rsidRDefault="007E57A0" w:rsidP="001B4D6A">
      <w:pPr>
        <w:autoSpaceDE w:val="0"/>
        <w:autoSpaceDN w:val="0"/>
        <w:adjustRightInd w:val="0"/>
        <w:rPr>
          <w:rFonts w:ascii="Arial" w:hAnsi="Arial" w:cs="Arial"/>
          <w:sz w:val="22"/>
          <w:szCs w:val="22"/>
        </w:rPr>
      </w:pPr>
    </w:p>
    <w:p w:rsidR="000058FA" w:rsidRDefault="007E57A0" w:rsidP="001B4D6A">
      <w:pPr>
        <w:rPr>
          <w:rFonts w:ascii="Arial" w:hAnsi="Arial"/>
          <w:sz w:val="22"/>
          <w:szCs w:val="22"/>
          <w:highlight w:val="lightGray"/>
          <w:lang w:eastAsia="en-US"/>
        </w:rPr>
      </w:pPr>
      <w:r w:rsidRPr="00F939F7">
        <w:rPr>
          <w:rFonts w:ascii="Arial" w:hAnsi="Arial"/>
          <w:b/>
          <w:sz w:val="22"/>
          <w:szCs w:val="22"/>
          <w:lang w:eastAsia="en-US"/>
        </w:rPr>
        <w:t xml:space="preserve">Emergency Response: </w:t>
      </w:r>
      <w:r w:rsidRPr="00F939F7">
        <w:rPr>
          <w:rFonts w:ascii="Arial" w:hAnsi="Arial"/>
          <w:sz w:val="22"/>
          <w:szCs w:val="22"/>
          <w:lang w:eastAsia="en-US"/>
        </w:rPr>
        <w:t xml:space="preserve">Montana Tech publishes the “Montana Tech Emergency Plan Instructions: What You Need to Know NOW” in the beginning of the Student </w:t>
      </w:r>
      <w:r>
        <w:rPr>
          <w:rFonts w:ascii="Arial" w:hAnsi="Arial"/>
          <w:sz w:val="22"/>
          <w:szCs w:val="22"/>
          <w:lang w:eastAsia="en-US"/>
        </w:rPr>
        <w:t>2</w:t>
      </w:r>
      <w:r w:rsidRPr="00F939F7">
        <w:rPr>
          <w:rFonts w:ascii="Arial" w:hAnsi="Arial"/>
          <w:sz w:val="22"/>
          <w:szCs w:val="22"/>
          <w:lang w:eastAsia="en-US"/>
        </w:rPr>
        <w:t>00</w:t>
      </w:r>
      <w:r>
        <w:rPr>
          <w:rFonts w:ascii="Arial" w:hAnsi="Arial"/>
          <w:sz w:val="22"/>
          <w:szCs w:val="22"/>
          <w:lang w:eastAsia="en-US"/>
        </w:rPr>
        <w:t>9-2010</w:t>
      </w:r>
      <w:r w:rsidR="00F65156">
        <w:rPr>
          <w:rFonts w:ascii="Arial" w:hAnsi="Arial"/>
          <w:sz w:val="22"/>
          <w:szCs w:val="22"/>
          <w:lang w:eastAsia="en-US"/>
        </w:rPr>
        <w:t xml:space="preserve"> Handbook and Calendar </w:t>
      </w:r>
      <w:r w:rsidRPr="00F939F7">
        <w:rPr>
          <w:rFonts w:ascii="Arial" w:hAnsi="Arial"/>
          <w:sz w:val="22"/>
          <w:szCs w:val="22"/>
          <w:lang w:eastAsia="en-US"/>
        </w:rPr>
        <w:t>(page 5</w:t>
      </w:r>
      <w:r>
        <w:rPr>
          <w:rFonts w:ascii="Arial" w:hAnsi="Arial"/>
          <w:sz w:val="22"/>
          <w:szCs w:val="22"/>
          <w:lang w:eastAsia="en-US"/>
        </w:rPr>
        <w:t>).</w:t>
      </w:r>
      <w:r w:rsidRPr="00F939F7">
        <w:rPr>
          <w:rFonts w:ascii="Arial" w:hAnsi="Arial"/>
          <w:sz w:val="22"/>
          <w:szCs w:val="22"/>
          <w:lang w:eastAsia="en-US"/>
        </w:rPr>
        <w:t xml:space="preserve"> In the section immediately following the calendar section, there are some additional sections regarding safety and security. The campus speed limit is noted (page 109); Campus Security (page 122); Emergency Response contact information (page 126); Evacuation Instructions (page 136); Montana Tech Alcohol Policy (page 141); Drug Free Workplace Policy (page 144</w:t>
      </w:r>
      <w:r w:rsidRPr="009F6021">
        <w:rPr>
          <w:rFonts w:ascii="Arial" w:hAnsi="Arial"/>
          <w:sz w:val="22"/>
          <w:szCs w:val="22"/>
          <w:lang w:eastAsia="en-US"/>
        </w:rPr>
        <w:t xml:space="preserve">); Gun Policy (page 145); Sexual Harassment (page 145); and finally the Annual Security Report (page 150). </w:t>
      </w:r>
      <w:r w:rsidR="009F6021">
        <w:rPr>
          <w:rFonts w:ascii="Arial" w:hAnsi="Arial"/>
          <w:sz w:val="22"/>
          <w:szCs w:val="22"/>
          <w:lang w:eastAsia="en-US"/>
        </w:rPr>
        <w:t>(</w:t>
      </w:r>
      <w:r w:rsidR="00055814" w:rsidRPr="009F6021">
        <w:rPr>
          <w:rFonts w:ascii="Arial" w:hAnsi="Arial"/>
          <w:sz w:val="22"/>
          <w:szCs w:val="22"/>
          <w:lang w:eastAsia="en-US"/>
        </w:rPr>
        <w:t xml:space="preserve">See </w:t>
      </w:r>
      <w:r w:rsidR="00AB310E" w:rsidRPr="009F6021">
        <w:rPr>
          <w:rFonts w:ascii="Arial" w:hAnsi="Arial"/>
          <w:sz w:val="22"/>
          <w:szCs w:val="22"/>
          <w:lang w:eastAsia="en-US"/>
        </w:rPr>
        <w:t>Exhibit 3.B.</w:t>
      </w:r>
      <w:r w:rsidR="000458CB">
        <w:rPr>
          <w:rFonts w:ascii="Arial" w:hAnsi="Arial"/>
          <w:sz w:val="22"/>
          <w:szCs w:val="22"/>
          <w:lang w:eastAsia="en-US"/>
        </w:rPr>
        <w:t>I</w:t>
      </w:r>
      <w:r w:rsidR="00AB310E" w:rsidRPr="009F6021">
        <w:rPr>
          <w:rFonts w:ascii="Arial" w:hAnsi="Arial"/>
          <w:sz w:val="22"/>
          <w:szCs w:val="22"/>
          <w:lang w:eastAsia="en-US"/>
        </w:rPr>
        <w:t>V</w:t>
      </w:r>
      <w:r w:rsidR="000458CB">
        <w:rPr>
          <w:rFonts w:ascii="Arial" w:hAnsi="Arial"/>
          <w:sz w:val="22"/>
          <w:szCs w:val="22"/>
          <w:lang w:eastAsia="en-US"/>
        </w:rPr>
        <w:t>:</w:t>
      </w:r>
      <w:r w:rsidR="00AB310E" w:rsidRPr="009F6021">
        <w:rPr>
          <w:rFonts w:ascii="Arial" w:hAnsi="Arial"/>
          <w:sz w:val="22"/>
          <w:szCs w:val="22"/>
          <w:lang w:eastAsia="en-US"/>
        </w:rPr>
        <w:t xml:space="preserve"> </w:t>
      </w:r>
      <w:hyperlink r:id="rId34" w:history="1">
        <w:r w:rsidR="00AB310E" w:rsidRPr="00475890">
          <w:rPr>
            <w:rStyle w:val="Hyperlink"/>
            <w:rFonts w:ascii="Arial" w:hAnsi="Arial"/>
            <w:i/>
            <w:sz w:val="22"/>
            <w:szCs w:val="22"/>
            <w:lang w:eastAsia="en-US"/>
          </w:rPr>
          <w:t>Montana Tech Safety Policy</w:t>
        </w:r>
      </w:hyperlink>
      <w:r w:rsidR="00AB310E" w:rsidRPr="00475890">
        <w:rPr>
          <w:rFonts w:ascii="Arial" w:hAnsi="Arial"/>
          <w:sz w:val="22"/>
          <w:szCs w:val="22"/>
          <w:lang w:eastAsia="en-US"/>
        </w:rPr>
        <w:t xml:space="preserve">, </w:t>
      </w:r>
      <w:r w:rsidR="000458CB" w:rsidRPr="00475890">
        <w:rPr>
          <w:rFonts w:ascii="Arial" w:hAnsi="Arial"/>
          <w:sz w:val="22"/>
          <w:szCs w:val="22"/>
          <w:lang w:eastAsia="en-US"/>
        </w:rPr>
        <w:t>Exhibit 3.B.V:</w:t>
      </w:r>
      <w:r w:rsidR="00055814" w:rsidRPr="00475890">
        <w:rPr>
          <w:rFonts w:ascii="Arial" w:hAnsi="Arial"/>
          <w:sz w:val="22"/>
          <w:szCs w:val="22"/>
          <w:lang w:eastAsia="en-US"/>
        </w:rPr>
        <w:t xml:space="preserve"> </w:t>
      </w:r>
      <w:hyperlink r:id="rId35" w:history="1">
        <w:r w:rsidR="00055814" w:rsidRPr="00475890">
          <w:rPr>
            <w:rStyle w:val="Hyperlink"/>
            <w:rFonts w:ascii="Arial" w:hAnsi="Arial"/>
            <w:i/>
            <w:sz w:val="22"/>
            <w:szCs w:val="22"/>
            <w:lang w:eastAsia="en-US"/>
          </w:rPr>
          <w:t>Campus Emergency Action and Crisis Protocol Manual</w:t>
        </w:r>
      </w:hyperlink>
      <w:r w:rsidR="00055814" w:rsidRPr="00475890">
        <w:rPr>
          <w:rFonts w:ascii="Arial" w:hAnsi="Arial"/>
          <w:i/>
          <w:color w:val="0033CC"/>
          <w:sz w:val="22"/>
          <w:szCs w:val="22"/>
          <w:u w:val="single"/>
          <w:lang w:eastAsia="en-US"/>
        </w:rPr>
        <w:t xml:space="preserve"> &amp; </w:t>
      </w:r>
      <w:hyperlink r:id="rId36" w:history="1">
        <w:r w:rsidR="00055814" w:rsidRPr="00475890">
          <w:rPr>
            <w:rStyle w:val="Hyperlink"/>
            <w:rFonts w:ascii="Arial" w:hAnsi="Arial"/>
            <w:i/>
            <w:sz w:val="22"/>
            <w:szCs w:val="22"/>
            <w:lang w:eastAsia="en-US"/>
          </w:rPr>
          <w:t>Student Life Programs Emergency Procedures</w:t>
        </w:r>
        <w:r w:rsidR="00AB310E" w:rsidRPr="00475890">
          <w:rPr>
            <w:rStyle w:val="Hyperlink"/>
            <w:rFonts w:ascii="Arial" w:hAnsi="Arial"/>
            <w:i/>
            <w:sz w:val="22"/>
            <w:szCs w:val="22"/>
            <w:lang w:eastAsia="en-US"/>
          </w:rPr>
          <w:t xml:space="preserve"> Manual</w:t>
        </w:r>
        <w:r w:rsidR="00AB310E" w:rsidRPr="00D178B5">
          <w:rPr>
            <w:rStyle w:val="Hyperlink"/>
            <w:rFonts w:ascii="Arial" w:hAnsi="Arial"/>
            <w:i/>
            <w:sz w:val="22"/>
            <w:szCs w:val="22"/>
            <w:u w:val="none"/>
            <w:lang w:eastAsia="en-US"/>
          </w:rPr>
          <w:t>.</w:t>
        </w:r>
        <w:r w:rsidR="00AB310E" w:rsidRPr="00D178B5">
          <w:rPr>
            <w:rStyle w:val="Hyperlink"/>
            <w:rFonts w:ascii="Arial" w:hAnsi="Arial"/>
            <w:sz w:val="22"/>
            <w:szCs w:val="22"/>
            <w:u w:val="none"/>
            <w:lang w:eastAsia="en-US"/>
          </w:rPr>
          <w:t>)</w:t>
        </w:r>
      </w:hyperlink>
    </w:p>
    <w:p w:rsidR="000058FA" w:rsidRDefault="000058FA" w:rsidP="001B4D6A">
      <w:pPr>
        <w:rPr>
          <w:rFonts w:ascii="Arial" w:hAnsi="Arial"/>
          <w:sz w:val="22"/>
          <w:szCs w:val="22"/>
          <w:lang w:eastAsia="en-US"/>
        </w:rPr>
      </w:pPr>
    </w:p>
    <w:p w:rsidR="007E57A0" w:rsidRPr="00F939F7" w:rsidRDefault="007E57A0" w:rsidP="001B4D6A">
      <w:pPr>
        <w:rPr>
          <w:rFonts w:ascii="Arial" w:hAnsi="Arial"/>
          <w:sz w:val="22"/>
          <w:szCs w:val="22"/>
          <w:lang w:eastAsia="en-US"/>
        </w:rPr>
      </w:pPr>
      <w:r w:rsidRPr="00F939F7">
        <w:rPr>
          <w:rFonts w:ascii="Arial" w:hAnsi="Arial"/>
          <w:sz w:val="22"/>
          <w:szCs w:val="22"/>
          <w:lang w:eastAsia="en-US"/>
        </w:rPr>
        <w:t>Montana Tech runs evacuat</w:t>
      </w:r>
      <w:r w:rsidR="00F65156">
        <w:rPr>
          <w:rFonts w:ascii="Arial" w:hAnsi="Arial"/>
          <w:sz w:val="22"/>
          <w:szCs w:val="22"/>
          <w:lang w:eastAsia="en-US"/>
        </w:rPr>
        <w:t xml:space="preserve">ion drills at the beginning of </w:t>
      </w:r>
      <w:r w:rsidR="00055814">
        <w:rPr>
          <w:rFonts w:ascii="Arial" w:hAnsi="Arial"/>
          <w:sz w:val="22"/>
          <w:szCs w:val="22"/>
          <w:lang w:eastAsia="en-US"/>
        </w:rPr>
        <w:t xml:space="preserve">every </w:t>
      </w:r>
      <w:r w:rsidR="00F65156">
        <w:rPr>
          <w:rFonts w:ascii="Arial" w:hAnsi="Arial"/>
          <w:sz w:val="22"/>
          <w:szCs w:val="22"/>
          <w:lang w:eastAsia="en-US"/>
        </w:rPr>
        <w:t>F</w:t>
      </w:r>
      <w:r w:rsidRPr="00F939F7">
        <w:rPr>
          <w:rFonts w:ascii="Arial" w:hAnsi="Arial"/>
          <w:sz w:val="22"/>
          <w:szCs w:val="22"/>
          <w:lang w:eastAsia="en-US"/>
        </w:rPr>
        <w:t>all semes</w:t>
      </w:r>
      <w:r>
        <w:rPr>
          <w:rFonts w:ascii="Arial" w:hAnsi="Arial"/>
          <w:sz w:val="22"/>
          <w:szCs w:val="22"/>
          <w:lang w:eastAsia="en-US"/>
        </w:rPr>
        <w:t xml:space="preserve">ter for all buildings on campus </w:t>
      </w:r>
      <w:r w:rsidRPr="00F939F7">
        <w:rPr>
          <w:rFonts w:ascii="Arial" w:hAnsi="Arial"/>
          <w:sz w:val="22"/>
          <w:szCs w:val="22"/>
          <w:lang w:eastAsia="en-US"/>
        </w:rPr>
        <w:t>and once a semester for the dormitories. An email notification is sent to faculty, staff</w:t>
      </w:r>
      <w:r w:rsidR="00055814">
        <w:rPr>
          <w:rFonts w:ascii="Arial" w:hAnsi="Arial"/>
          <w:sz w:val="22"/>
          <w:szCs w:val="22"/>
          <w:lang w:eastAsia="en-US"/>
        </w:rPr>
        <w:t>,</w:t>
      </w:r>
      <w:r w:rsidRPr="00F939F7">
        <w:rPr>
          <w:rFonts w:ascii="Arial" w:hAnsi="Arial"/>
          <w:sz w:val="22"/>
          <w:szCs w:val="22"/>
          <w:lang w:eastAsia="en-US"/>
        </w:rPr>
        <w:t xml:space="preserve"> and students at the beginning of the semester to remind them of the protocol and procedures</w:t>
      </w:r>
      <w:r>
        <w:rPr>
          <w:rFonts w:ascii="Arial" w:hAnsi="Arial"/>
          <w:sz w:val="22"/>
          <w:szCs w:val="22"/>
          <w:lang w:eastAsia="en-US"/>
        </w:rPr>
        <w:t xml:space="preserve"> for evacuations. </w:t>
      </w:r>
      <w:r w:rsidR="00DD7C7F">
        <w:rPr>
          <w:rFonts w:ascii="Arial" w:hAnsi="Arial"/>
          <w:sz w:val="22"/>
          <w:szCs w:val="22"/>
          <w:lang w:eastAsia="en-US"/>
        </w:rPr>
        <w:t>Signs are posted in all</w:t>
      </w:r>
      <w:r w:rsidRPr="00F939F7">
        <w:rPr>
          <w:rFonts w:ascii="Arial" w:hAnsi="Arial"/>
          <w:sz w:val="22"/>
          <w:szCs w:val="22"/>
          <w:lang w:eastAsia="en-US"/>
        </w:rPr>
        <w:t xml:space="preserve"> buildings </w:t>
      </w:r>
      <w:r w:rsidR="00DD7C7F">
        <w:rPr>
          <w:rFonts w:ascii="Arial" w:hAnsi="Arial"/>
          <w:sz w:val="22"/>
          <w:szCs w:val="22"/>
          <w:lang w:eastAsia="en-US"/>
        </w:rPr>
        <w:t>to indicate</w:t>
      </w:r>
      <w:r w:rsidRPr="00F939F7">
        <w:rPr>
          <w:rFonts w:ascii="Arial" w:hAnsi="Arial"/>
          <w:sz w:val="22"/>
          <w:szCs w:val="22"/>
          <w:lang w:eastAsia="en-US"/>
        </w:rPr>
        <w:t xml:space="preserve"> </w:t>
      </w:r>
      <w:r w:rsidR="00DD7C7F">
        <w:rPr>
          <w:rFonts w:ascii="Arial" w:hAnsi="Arial"/>
          <w:sz w:val="22"/>
          <w:szCs w:val="22"/>
          <w:lang w:eastAsia="en-US"/>
        </w:rPr>
        <w:t>the location of</w:t>
      </w:r>
      <w:r w:rsidRPr="00F939F7">
        <w:rPr>
          <w:rFonts w:ascii="Arial" w:hAnsi="Arial"/>
          <w:sz w:val="22"/>
          <w:szCs w:val="22"/>
          <w:lang w:eastAsia="en-US"/>
        </w:rPr>
        <w:t xml:space="preserve"> the assembly area for that </w:t>
      </w:r>
      <w:r w:rsidR="00DD7C7F">
        <w:rPr>
          <w:rFonts w:ascii="Arial" w:hAnsi="Arial"/>
          <w:sz w:val="22"/>
          <w:szCs w:val="22"/>
          <w:lang w:eastAsia="en-US"/>
        </w:rPr>
        <w:t xml:space="preserve">particular </w:t>
      </w:r>
      <w:r w:rsidRPr="00F939F7">
        <w:rPr>
          <w:rFonts w:ascii="Arial" w:hAnsi="Arial"/>
          <w:sz w:val="22"/>
          <w:szCs w:val="22"/>
          <w:lang w:eastAsia="en-US"/>
        </w:rPr>
        <w:t>bui</w:t>
      </w:r>
      <w:r>
        <w:rPr>
          <w:rFonts w:ascii="Arial" w:hAnsi="Arial"/>
          <w:sz w:val="22"/>
          <w:szCs w:val="22"/>
          <w:lang w:eastAsia="en-US"/>
        </w:rPr>
        <w:t>lding.</w:t>
      </w:r>
    </w:p>
    <w:p w:rsidR="007E57A0" w:rsidRDefault="007E57A0" w:rsidP="001B4D6A">
      <w:pPr>
        <w:rPr>
          <w:rFonts w:ascii="Arial" w:hAnsi="Arial"/>
          <w:color w:val="0033CC"/>
          <w:sz w:val="22"/>
          <w:szCs w:val="22"/>
          <w:lang w:eastAsia="en-US"/>
        </w:rPr>
      </w:pPr>
    </w:p>
    <w:p w:rsidR="007E57A0" w:rsidRPr="00465A6F" w:rsidRDefault="00DD7C7F" w:rsidP="001B4D6A">
      <w:pPr>
        <w:rPr>
          <w:rFonts w:ascii="Arial" w:hAnsi="Arial"/>
          <w:sz w:val="22"/>
          <w:szCs w:val="22"/>
          <w:lang w:eastAsia="en-US"/>
        </w:rPr>
      </w:pPr>
      <w:r>
        <w:rPr>
          <w:rFonts w:ascii="Arial" w:hAnsi="Arial"/>
          <w:sz w:val="22"/>
          <w:szCs w:val="22"/>
          <w:lang w:eastAsia="en-US"/>
        </w:rPr>
        <w:t>T</w:t>
      </w:r>
      <w:r w:rsidR="00BD1617">
        <w:rPr>
          <w:rFonts w:ascii="Arial" w:hAnsi="Arial"/>
          <w:sz w:val="22"/>
          <w:szCs w:val="22"/>
          <w:lang w:eastAsia="en-US"/>
        </w:rPr>
        <w:t xml:space="preserve">o make </w:t>
      </w:r>
      <w:r w:rsidR="007E57A0" w:rsidRPr="00F939F7">
        <w:rPr>
          <w:rFonts w:ascii="Arial" w:hAnsi="Arial"/>
          <w:sz w:val="22"/>
          <w:szCs w:val="22"/>
          <w:lang w:eastAsia="en-US"/>
        </w:rPr>
        <w:t xml:space="preserve">buildings more </w:t>
      </w:r>
      <w:r>
        <w:rPr>
          <w:rFonts w:ascii="Arial" w:hAnsi="Arial"/>
          <w:sz w:val="22"/>
          <w:szCs w:val="22"/>
          <w:lang w:eastAsia="en-US"/>
        </w:rPr>
        <w:t>secure, Tech changed</w:t>
      </w:r>
      <w:r w:rsidR="007E57A0" w:rsidRPr="00C54E65">
        <w:rPr>
          <w:rFonts w:ascii="Arial" w:hAnsi="Arial"/>
          <w:sz w:val="22"/>
          <w:szCs w:val="22"/>
          <w:lang w:eastAsia="en-US"/>
        </w:rPr>
        <w:t xml:space="preserve"> locks on classroom doors </w:t>
      </w:r>
      <w:r>
        <w:rPr>
          <w:rFonts w:ascii="Arial" w:hAnsi="Arial"/>
          <w:sz w:val="22"/>
          <w:szCs w:val="22"/>
          <w:lang w:eastAsia="en-US"/>
        </w:rPr>
        <w:t>so they</w:t>
      </w:r>
      <w:r w:rsidR="007E57A0" w:rsidRPr="00C54E65">
        <w:rPr>
          <w:rFonts w:ascii="Arial" w:hAnsi="Arial"/>
          <w:sz w:val="22"/>
          <w:szCs w:val="22"/>
          <w:lang w:eastAsia="en-US"/>
        </w:rPr>
        <w:t xml:space="preserve"> can be locked from the inside. For classroom doors </w:t>
      </w:r>
      <w:r>
        <w:rPr>
          <w:rFonts w:ascii="Arial" w:hAnsi="Arial"/>
          <w:sz w:val="22"/>
          <w:szCs w:val="22"/>
          <w:lang w:eastAsia="en-US"/>
        </w:rPr>
        <w:t>that have panic hardware, Tech is</w:t>
      </w:r>
      <w:r w:rsidR="007E57A0" w:rsidRPr="00C54E65">
        <w:rPr>
          <w:rFonts w:ascii="Arial" w:hAnsi="Arial"/>
          <w:sz w:val="22"/>
          <w:szCs w:val="22"/>
          <w:lang w:eastAsia="en-US"/>
        </w:rPr>
        <w:t xml:space="preserve"> </w:t>
      </w:r>
      <w:r w:rsidR="007E57A0">
        <w:rPr>
          <w:rFonts w:ascii="Arial" w:hAnsi="Arial"/>
          <w:sz w:val="22"/>
          <w:szCs w:val="22"/>
          <w:lang w:eastAsia="en-US"/>
        </w:rPr>
        <w:t xml:space="preserve">exploring ways </w:t>
      </w:r>
      <w:r w:rsidR="007E57A0" w:rsidRPr="00C54E65">
        <w:rPr>
          <w:rFonts w:ascii="Arial" w:hAnsi="Arial"/>
          <w:sz w:val="22"/>
          <w:szCs w:val="22"/>
          <w:lang w:eastAsia="en-US"/>
        </w:rPr>
        <w:t>to provide a means for locking the doors.</w:t>
      </w:r>
    </w:p>
    <w:p w:rsidR="00C9486F" w:rsidRDefault="00C9486F" w:rsidP="001B4D6A">
      <w:pPr>
        <w:rPr>
          <w:rFonts w:ascii="Arial" w:hAnsi="Arial"/>
          <w:color w:val="0070C0"/>
        </w:rPr>
      </w:pPr>
    </w:p>
    <w:p w:rsidR="007E57A0" w:rsidRDefault="002849AC" w:rsidP="001B4D6A">
      <w:pPr>
        <w:rPr>
          <w:rFonts w:ascii="Arial" w:hAnsi="Arial"/>
          <w:sz w:val="22"/>
          <w:szCs w:val="22"/>
        </w:rPr>
      </w:pPr>
      <w:r w:rsidRPr="000058FA">
        <w:rPr>
          <w:rFonts w:ascii="Arial" w:hAnsi="Arial"/>
          <w:sz w:val="22"/>
          <w:szCs w:val="22"/>
        </w:rPr>
        <w:t>Tools</w:t>
      </w:r>
      <w:r w:rsidR="00BD1617">
        <w:rPr>
          <w:rFonts w:ascii="Arial" w:hAnsi="Arial"/>
          <w:sz w:val="22"/>
          <w:szCs w:val="22"/>
        </w:rPr>
        <w:t xml:space="preserve"> added to the</w:t>
      </w:r>
      <w:r w:rsidR="00BE64AC" w:rsidRPr="000058FA">
        <w:rPr>
          <w:rFonts w:ascii="Arial" w:hAnsi="Arial"/>
          <w:sz w:val="22"/>
          <w:szCs w:val="22"/>
        </w:rPr>
        <w:t xml:space="preserve"> emergency notification plan include an outdoor siren/PA system which will be used a</w:t>
      </w:r>
      <w:r w:rsidRPr="000058FA">
        <w:rPr>
          <w:rFonts w:ascii="Arial" w:hAnsi="Arial"/>
          <w:sz w:val="22"/>
          <w:szCs w:val="22"/>
        </w:rPr>
        <w:t>s an emergency notification</w:t>
      </w:r>
      <w:r w:rsidR="00BE64AC" w:rsidRPr="000058FA">
        <w:rPr>
          <w:rFonts w:ascii="Arial" w:hAnsi="Arial"/>
          <w:sz w:val="22"/>
          <w:szCs w:val="22"/>
        </w:rPr>
        <w:t xml:space="preserve"> for those outdoors, as well as a means to declare an “all clear” when a building has been evacuated; a computer notification system, </w:t>
      </w:r>
      <w:r w:rsidR="00DD7C7F">
        <w:rPr>
          <w:rFonts w:ascii="Arial" w:hAnsi="Arial"/>
          <w:sz w:val="22"/>
          <w:szCs w:val="22"/>
        </w:rPr>
        <w:t>(</w:t>
      </w:r>
      <w:r w:rsidR="00BE64AC" w:rsidRPr="000058FA">
        <w:rPr>
          <w:rFonts w:ascii="Arial" w:hAnsi="Arial"/>
          <w:sz w:val="22"/>
          <w:szCs w:val="22"/>
        </w:rPr>
        <w:t>NetSupport Notify</w:t>
      </w:r>
      <w:r w:rsidR="00DD7C7F">
        <w:rPr>
          <w:rFonts w:ascii="Arial" w:hAnsi="Arial"/>
          <w:sz w:val="22"/>
          <w:szCs w:val="22"/>
        </w:rPr>
        <w:t>)</w:t>
      </w:r>
      <w:r w:rsidR="00BE64AC" w:rsidRPr="000058FA">
        <w:rPr>
          <w:rFonts w:ascii="Arial" w:hAnsi="Arial"/>
          <w:sz w:val="22"/>
          <w:szCs w:val="22"/>
        </w:rPr>
        <w:t xml:space="preserve"> whereby computer users will observe an emergency message that pops up on their screens; and a text messaging system </w:t>
      </w:r>
      <w:r w:rsidR="00DD7C7F" w:rsidRPr="000058FA">
        <w:rPr>
          <w:rFonts w:ascii="Arial" w:hAnsi="Arial"/>
          <w:sz w:val="22"/>
          <w:szCs w:val="22"/>
        </w:rPr>
        <w:t>whereb</w:t>
      </w:r>
      <w:r w:rsidR="00DD7C7F">
        <w:rPr>
          <w:rFonts w:ascii="Arial" w:hAnsi="Arial"/>
          <w:sz w:val="22"/>
          <w:szCs w:val="22"/>
        </w:rPr>
        <w:t xml:space="preserve">y </w:t>
      </w:r>
      <w:r w:rsidR="00BE64AC" w:rsidRPr="000058FA">
        <w:rPr>
          <w:rFonts w:ascii="Arial" w:hAnsi="Arial"/>
          <w:sz w:val="22"/>
          <w:szCs w:val="22"/>
        </w:rPr>
        <w:t xml:space="preserve">campus constituents can subscribe and be notified via a text message when an emergency situation exists. </w:t>
      </w:r>
      <w:r w:rsidRPr="000058FA">
        <w:rPr>
          <w:rFonts w:ascii="Arial" w:hAnsi="Arial"/>
          <w:sz w:val="22"/>
          <w:szCs w:val="22"/>
        </w:rPr>
        <w:t xml:space="preserve">The campus has access and will use </w:t>
      </w:r>
      <w:r w:rsidR="00BE64AC" w:rsidRPr="000058FA">
        <w:rPr>
          <w:rFonts w:ascii="Arial" w:hAnsi="Arial"/>
          <w:sz w:val="22"/>
          <w:szCs w:val="22"/>
        </w:rPr>
        <w:t>Butte-Silver Bow</w:t>
      </w:r>
      <w:r w:rsidRPr="000058FA">
        <w:rPr>
          <w:rFonts w:ascii="Arial" w:hAnsi="Arial"/>
          <w:sz w:val="22"/>
          <w:szCs w:val="22"/>
        </w:rPr>
        <w:t>’s</w:t>
      </w:r>
      <w:r w:rsidR="00873AB8">
        <w:rPr>
          <w:rFonts w:ascii="Arial" w:hAnsi="Arial"/>
          <w:sz w:val="22"/>
          <w:szCs w:val="22"/>
        </w:rPr>
        <w:t xml:space="preserve"> “R</w:t>
      </w:r>
      <w:r w:rsidR="00BE64AC" w:rsidRPr="000058FA">
        <w:rPr>
          <w:rFonts w:ascii="Arial" w:hAnsi="Arial"/>
          <w:sz w:val="22"/>
          <w:szCs w:val="22"/>
        </w:rPr>
        <w:t xml:space="preserve">everse 911” system for </w:t>
      </w:r>
      <w:r w:rsidRPr="000058FA">
        <w:rPr>
          <w:rFonts w:ascii="Arial" w:hAnsi="Arial"/>
          <w:sz w:val="22"/>
          <w:szCs w:val="22"/>
        </w:rPr>
        <w:t xml:space="preserve">emergency </w:t>
      </w:r>
      <w:r w:rsidR="00BE64AC" w:rsidRPr="000058FA">
        <w:rPr>
          <w:rFonts w:ascii="Arial" w:hAnsi="Arial"/>
          <w:sz w:val="22"/>
          <w:szCs w:val="22"/>
        </w:rPr>
        <w:t xml:space="preserve">notification </w:t>
      </w:r>
      <w:r w:rsidRPr="000058FA">
        <w:rPr>
          <w:rFonts w:ascii="Arial" w:hAnsi="Arial"/>
          <w:sz w:val="22"/>
          <w:szCs w:val="22"/>
        </w:rPr>
        <w:t xml:space="preserve">to </w:t>
      </w:r>
      <w:r w:rsidR="006E38F1">
        <w:rPr>
          <w:rFonts w:ascii="Arial" w:hAnsi="Arial"/>
          <w:sz w:val="22"/>
          <w:szCs w:val="22"/>
        </w:rPr>
        <w:t>campus landline phones.</w:t>
      </w:r>
      <w:r w:rsidR="00243CB5" w:rsidRPr="000058FA">
        <w:rPr>
          <w:rFonts w:ascii="Arial" w:hAnsi="Arial"/>
          <w:sz w:val="22"/>
          <w:szCs w:val="22"/>
        </w:rPr>
        <w:t xml:space="preserve"> </w:t>
      </w:r>
    </w:p>
    <w:p w:rsidR="00DD7C7F" w:rsidRPr="00C54E65" w:rsidRDefault="00DD7C7F" w:rsidP="001B4D6A">
      <w:pPr>
        <w:rPr>
          <w:rFonts w:ascii="Arial" w:hAnsi="Arial"/>
          <w:sz w:val="22"/>
          <w:szCs w:val="22"/>
          <w:lang w:eastAsia="en-US"/>
        </w:rPr>
      </w:pPr>
    </w:p>
    <w:p w:rsidR="007E57A0" w:rsidRPr="00710991" w:rsidRDefault="00DD7C7F" w:rsidP="001B4D6A">
      <w:pPr>
        <w:rPr>
          <w:rFonts w:ascii="Arial" w:hAnsi="Arial"/>
          <w:sz w:val="22"/>
          <w:szCs w:val="22"/>
          <w:lang w:eastAsia="en-US"/>
        </w:rPr>
      </w:pPr>
      <w:r>
        <w:rPr>
          <w:rFonts w:ascii="Arial" w:hAnsi="Arial"/>
          <w:sz w:val="22"/>
          <w:szCs w:val="22"/>
          <w:lang w:eastAsia="en-US"/>
        </w:rPr>
        <w:t>To help</w:t>
      </w:r>
      <w:r w:rsidR="007E57A0">
        <w:rPr>
          <w:rFonts w:ascii="Arial" w:hAnsi="Arial"/>
          <w:sz w:val="22"/>
          <w:szCs w:val="22"/>
          <w:lang w:eastAsia="en-US"/>
        </w:rPr>
        <w:t xml:space="preserve"> the Butte-</w:t>
      </w:r>
      <w:r>
        <w:rPr>
          <w:rFonts w:ascii="Arial" w:hAnsi="Arial"/>
          <w:sz w:val="22"/>
          <w:szCs w:val="22"/>
          <w:lang w:eastAsia="en-US"/>
        </w:rPr>
        <w:t>Silver Bow Fire Department sweep</w:t>
      </w:r>
      <w:r w:rsidR="007E57A0" w:rsidRPr="00C54E65">
        <w:rPr>
          <w:rFonts w:ascii="Arial" w:hAnsi="Arial"/>
          <w:sz w:val="22"/>
          <w:szCs w:val="22"/>
          <w:lang w:eastAsia="en-US"/>
        </w:rPr>
        <w:t xml:space="preserve"> buildings when an evacuation has occurred, Montana Tech has installed “Knox-Box Rapid Entry Systems” on both residence halls and </w:t>
      </w:r>
      <w:r>
        <w:rPr>
          <w:rFonts w:ascii="Arial" w:hAnsi="Arial"/>
          <w:sz w:val="22"/>
          <w:szCs w:val="22"/>
          <w:lang w:eastAsia="en-US"/>
        </w:rPr>
        <w:t xml:space="preserve">on </w:t>
      </w:r>
      <w:r w:rsidR="007E57A0" w:rsidRPr="00C54E65">
        <w:rPr>
          <w:rFonts w:ascii="Arial" w:hAnsi="Arial"/>
          <w:sz w:val="22"/>
          <w:szCs w:val="22"/>
          <w:lang w:eastAsia="en-US"/>
        </w:rPr>
        <w:t>the three apartment housing units. Each Knox Box contains a master key for the building, allowing emergency personnel access to all parts of the building.</w:t>
      </w:r>
      <w:r w:rsidR="007E57A0">
        <w:rPr>
          <w:rFonts w:ascii="Arial" w:hAnsi="Arial"/>
          <w:sz w:val="22"/>
          <w:szCs w:val="22"/>
          <w:lang w:eastAsia="en-US"/>
        </w:rPr>
        <w:t xml:space="preserve"> </w:t>
      </w:r>
    </w:p>
    <w:p w:rsidR="00BA6E6F" w:rsidRDefault="00BA6E6F" w:rsidP="001B4D6A">
      <w:pPr>
        <w:rPr>
          <w:rFonts w:ascii="Arial" w:hAnsi="Arial"/>
          <w:sz w:val="22"/>
          <w:szCs w:val="22"/>
          <w:lang w:eastAsia="en-US"/>
        </w:rPr>
      </w:pPr>
    </w:p>
    <w:p w:rsidR="00BA6E6F" w:rsidRDefault="00BA6E6F" w:rsidP="001B4D6A">
      <w:pPr>
        <w:rPr>
          <w:rFonts w:ascii="Arial" w:hAnsi="Arial"/>
          <w:sz w:val="22"/>
          <w:szCs w:val="22"/>
          <w:lang w:eastAsia="en-US"/>
        </w:rPr>
      </w:pPr>
      <w:r>
        <w:rPr>
          <w:rFonts w:ascii="Arial" w:hAnsi="Arial"/>
          <w:sz w:val="22"/>
          <w:szCs w:val="22"/>
          <w:lang w:eastAsia="en-US"/>
        </w:rPr>
        <w:t>Montana Tech’s Annual Security Report is published in the student handbook and on the web</w:t>
      </w:r>
      <w:r w:rsidR="00873AB8">
        <w:rPr>
          <w:rFonts w:ascii="Arial" w:hAnsi="Arial"/>
          <w:sz w:val="22"/>
          <w:szCs w:val="22"/>
          <w:lang w:eastAsia="en-US"/>
        </w:rPr>
        <w:t>. (</w:t>
      </w:r>
      <w:hyperlink r:id="rId37" w:history="1">
        <w:r>
          <w:rPr>
            <w:rStyle w:val="Hyperlink"/>
            <w:rFonts w:ascii="Arial" w:hAnsi="Arial"/>
            <w:i/>
            <w:sz w:val="22"/>
            <w:szCs w:val="22"/>
            <w:lang w:eastAsia="en-US"/>
          </w:rPr>
          <w:t>http://www.mtech.edu/student_life/</w:t>
        </w:r>
        <w:r>
          <w:rPr>
            <w:rStyle w:val="Hyperlink"/>
            <w:i/>
          </w:rPr>
          <w:t>.</w:t>
        </w:r>
      </w:hyperlink>
      <w:hyperlink r:id="rId38" w:history="1">
        <w:r>
          <w:rPr>
            <w:rStyle w:val="Hyperlink"/>
            <w:rFonts w:ascii="Arial" w:hAnsi="Arial" w:cs="Arial"/>
            <w:i/>
            <w:sz w:val="22"/>
            <w:szCs w:val="22"/>
          </w:rPr>
          <w:t>http://www.mtech.edu/student_life/security/.</w:t>
        </w:r>
      </w:hyperlink>
      <w:r w:rsidR="00873AB8">
        <w:t>)</w:t>
      </w:r>
    </w:p>
    <w:p w:rsidR="007E57A0" w:rsidRPr="00AC37D6" w:rsidRDefault="007E57A0" w:rsidP="001B4D6A">
      <w:pPr>
        <w:rPr>
          <w:rFonts w:ascii="Arial" w:hAnsi="Arial"/>
          <w:color w:val="0033CC"/>
          <w:sz w:val="22"/>
          <w:szCs w:val="22"/>
          <w:lang w:eastAsia="en-US"/>
        </w:rPr>
      </w:pPr>
    </w:p>
    <w:p w:rsidR="007E57A0" w:rsidRDefault="007E57A0" w:rsidP="001B4D6A">
      <w:pPr>
        <w:rPr>
          <w:rFonts w:ascii="Arial" w:hAnsi="Arial" w:cs="Arial"/>
          <w:sz w:val="22"/>
          <w:szCs w:val="22"/>
        </w:rPr>
      </w:pPr>
      <w:r w:rsidRPr="00816567">
        <w:rPr>
          <w:rFonts w:ascii="Arial" w:hAnsi="Arial" w:cs="Arial"/>
          <w:sz w:val="22"/>
          <w:szCs w:val="22"/>
        </w:rPr>
        <w:t xml:space="preserve">The Student Wellness Taskforce </w:t>
      </w:r>
      <w:r>
        <w:rPr>
          <w:rFonts w:ascii="Arial" w:hAnsi="Arial" w:cs="Arial"/>
          <w:sz w:val="22"/>
          <w:szCs w:val="22"/>
        </w:rPr>
        <w:t>was established in</w:t>
      </w:r>
      <w:r w:rsidRPr="00816567">
        <w:rPr>
          <w:rFonts w:ascii="Arial" w:hAnsi="Arial" w:cs="Arial"/>
          <w:sz w:val="22"/>
          <w:szCs w:val="22"/>
        </w:rPr>
        <w:t xml:space="preserve"> </w:t>
      </w:r>
      <w:r>
        <w:rPr>
          <w:rFonts w:ascii="Arial" w:hAnsi="Arial" w:cs="Arial"/>
          <w:sz w:val="22"/>
          <w:szCs w:val="22"/>
        </w:rPr>
        <w:t>F</w:t>
      </w:r>
      <w:r w:rsidRPr="00816567">
        <w:rPr>
          <w:rFonts w:ascii="Arial" w:hAnsi="Arial" w:cs="Arial"/>
          <w:sz w:val="22"/>
          <w:szCs w:val="22"/>
        </w:rPr>
        <w:t>all 2007 as a result of M</w:t>
      </w:r>
      <w:r w:rsidR="00DF7740">
        <w:rPr>
          <w:rFonts w:ascii="Arial" w:hAnsi="Arial" w:cs="Arial"/>
          <w:sz w:val="22"/>
          <w:szCs w:val="22"/>
        </w:rPr>
        <w:t>ontana</w:t>
      </w:r>
      <w:r w:rsidRPr="00816567">
        <w:rPr>
          <w:rFonts w:ascii="Arial" w:hAnsi="Arial" w:cs="Arial"/>
          <w:sz w:val="22"/>
          <w:szCs w:val="22"/>
        </w:rPr>
        <w:t xml:space="preserve"> Tech signing on with the Montana Collegiate Tobacco </w:t>
      </w:r>
      <w:r>
        <w:rPr>
          <w:rFonts w:ascii="Arial" w:hAnsi="Arial" w:cs="Arial"/>
          <w:sz w:val="22"/>
          <w:szCs w:val="22"/>
        </w:rPr>
        <w:t>Prevention Initiative (MCTPI).  Montana Tech’s</w:t>
      </w:r>
      <w:r w:rsidRPr="00816567">
        <w:rPr>
          <w:rFonts w:ascii="Arial" w:hAnsi="Arial" w:cs="Arial"/>
          <w:sz w:val="22"/>
          <w:szCs w:val="22"/>
        </w:rPr>
        <w:t xml:space="preserve"> </w:t>
      </w:r>
      <w:r w:rsidR="006E38F1">
        <w:rPr>
          <w:rFonts w:ascii="Arial" w:hAnsi="Arial" w:cs="Arial"/>
          <w:sz w:val="22"/>
          <w:szCs w:val="22"/>
        </w:rPr>
        <w:t>T</w:t>
      </w:r>
      <w:r w:rsidRPr="00816567">
        <w:rPr>
          <w:rFonts w:ascii="Arial" w:hAnsi="Arial" w:cs="Arial"/>
          <w:sz w:val="22"/>
          <w:szCs w:val="22"/>
        </w:rPr>
        <w:t>askforce was formed to address tobacco concerns for college students;</w:t>
      </w:r>
      <w:r>
        <w:rPr>
          <w:rFonts w:ascii="Arial" w:hAnsi="Arial" w:cs="Arial"/>
          <w:sz w:val="22"/>
          <w:szCs w:val="22"/>
        </w:rPr>
        <w:t xml:space="preserve"> however, </w:t>
      </w:r>
      <w:r w:rsidRPr="0008079C">
        <w:rPr>
          <w:rFonts w:ascii="Arial" w:hAnsi="Arial" w:cs="Arial"/>
          <w:sz w:val="22"/>
          <w:szCs w:val="22"/>
        </w:rPr>
        <w:t>alcohol</w:t>
      </w:r>
      <w:r w:rsidRPr="00816567">
        <w:rPr>
          <w:rFonts w:ascii="Arial" w:hAnsi="Arial" w:cs="Arial"/>
          <w:sz w:val="22"/>
          <w:szCs w:val="22"/>
        </w:rPr>
        <w:t xml:space="preserve"> </w:t>
      </w:r>
      <w:r>
        <w:rPr>
          <w:rFonts w:ascii="Arial" w:hAnsi="Arial" w:cs="Arial"/>
          <w:sz w:val="22"/>
          <w:szCs w:val="22"/>
        </w:rPr>
        <w:t>prevention</w:t>
      </w:r>
      <w:r w:rsidRPr="00816567">
        <w:rPr>
          <w:rFonts w:ascii="Arial" w:hAnsi="Arial" w:cs="Arial"/>
          <w:sz w:val="22"/>
          <w:szCs w:val="22"/>
        </w:rPr>
        <w:t xml:space="preserve"> and other student wellness concerns </w:t>
      </w:r>
      <w:r w:rsidRPr="0008079C">
        <w:rPr>
          <w:rFonts w:ascii="Arial" w:hAnsi="Arial" w:cs="Arial"/>
          <w:sz w:val="22"/>
          <w:szCs w:val="22"/>
        </w:rPr>
        <w:t>we</w:t>
      </w:r>
      <w:r>
        <w:rPr>
          <w:rFonts w:ascii="Arial" w:hAnsi="Arial" w:cs="Arial"/>
          <w:sz w:val="22"/>
          <w:szCs w:val="22"/>
        </w:rPr>
        <w:t>re</w:t>
      </w:r>
      <w:r w:rsidRPr="0008079C">
        <w:rPr>
          <w:rFonts w:ascii="Arial" w:hAnsi="Arial" w:cs="Arial"/>
          <w:sz w:val="22"/>
          <w:szCs w:val="22"/>
        </w:rPr>
        <w:t xml:space="preserve"> added </w:t>
      </w:r>
      <w:r w:rsidRPr="00816567">
        <w:rPr>
          <w:rFonts w:ascii="Arial" w:hAnsi="Arial" w:cs="Arial"/>
          <w:sz w:val="22"/>
          <w:szCs w:val="22"/>
        </w:rPr>
        <w:t xml:space="preserve">to the </w:t>
      </w:r>
      <w:r>
        <w:rPr>
          <w:rFonts w:ascii="Arial" w:hAnsi="Arial" w:cs="Arial"/>
          <w:sz w:val="22"/>
          <w:szCs w:val="22"/>
        </w:rPr>
        <w:t>mission</w:t>
      </w:r>
      <w:r w:rsidRPr="00816567">
        <w:rPr>
          <w:rFonts w:ascii="Arial" w:hAnsi="Arial" w:cs="Arial"/>
          <w:sz w:val="22"/>
          <w:szCs w:val="22"/>
        </w:rPr>
        <w:t xml:space="preserve">.  </w:t>
      </w:r>
      <w:r>
        <w:rPr>
          <w:rFonts w:ascii="Arial" w:hAnsi="Arial" w:cs="Arial"/>
          <w:sz w:val="22"/>
          <w:szCs w:val="22"/>
        </w:rPr>
        <w:t>M</w:t>
      </w:r>
      <w:r w:rsidRPr="00816567">
        <w:rPr>
          <w:rFonts w:ascii="Arial" w:hAnsi="Arial" w:cs="Arial"/>
          <w:sz w:val="22"/>
          <w:szCs w:val="22"/>
        </w:rPr>
        <w:t xml:space="preserve">embership </w:t>
      </w:r>
      <w:r w:rsidRPr="00816567">
        <w:rPr>
          <w:rFonts w:ascii="Arial" w:hAnsi="Arial" w:cs="Arial"/>
          <w:sz w:val="22"/>
          <w:szCs w:val="22"/>
        </w:rPr>
        <w:lastRenderedPageBreak/>
        <w:t xml:space="preserve">includes students, </w:t>
      </w:r>
      <w:r w:rsidR="006E38F1">
        <w:rPr>
          <w:rFonts w:ascii="Arial" w:hAnsi="Arial" w:cs="Arial"/>
          <w:sz w:val="22"/>
          <w:szCs w:val="22"/>
        </w:rPr>
        <w:t>faculty, staff, and</w:t>
      </w:r>
      <w:r w:rsidRPr="00AE581B">
        <w:rPr>
          <w:rFonts w:ascii="Arial" w:hAnsi="Arial" w:cs="Arial"/>
          <w:sz w:val="22"/>
          <w:szCs w:val="22"/>
        </w:rPr>
        <w:t xml:space="preserve"> community</w:t>
      </w:r>
      <w:r w:rsidR="006E38F1">
        <w:rPr>
          <w:rFonts w:ascii="Arial" w:hAnsi="Arial" w:cs="Arial"/>
          <w:sz w:val="22"/>
          <w:szCs w:val="22"/>
        </w:rPr>
        <w:t xml:space="preserve"> members</w:t>
      </w:r>
      <w:r w:rsidRPr="00AE581B">
        <w:rPr>
          <w:sz w:val="22"/>
          <w:szCs w:val="22"/>
        </w:rPr>
        <w:t xml:space="preserve">.  </w:t>
      </w:r>
      <w:r w:rsidR="006E38F1">
        <w:rPr>
          <w:rFonts w:ascii="Arial" w:hAnsi="Arial" w:cs="Arial"/>
          <w:sz w:val="22"/>
          <w:szCs w:val="22"/>
        </w:rPr>
        <w:t>In Spring</w:t>
      </w:r>
      <w:r w:rsidRPr="00AE581B">
        <w:rPr>
          <w:rFonts w:ascii="Arial" w:hAnsi="Arial" w:cs="Arial"/>
          <w:sz w:val="22"/>
          <w:szCs w:val="22"/>
        </w:rPr>
        <w:t xml:space="preserve"> 2009, the Taskforce recommend</w:t>
      </w:r>
      <w:r w:rsidR="006E38F1">
        <w:rPr>
          <w:rFonts w:ascii="Arial" w:hAnsi="Arial" w:cs="Arial"/>
          <w:sz w:val="22"/>
          <w:szCs w:val="22"/>
        </w:rPr>
        <w:t xml:space="preserve">ed Montana Tech go </w:t>
      </w:r>
      <w:r w:rsidR="00BC185F">
        <w:rPr>
          <w:rFonts w:ascii="Arial" w:hAnsi="Arial" w:cs="Arial"/>
          <w:sz w:val="22"/>
          <w:szCs w:val="22"/>
        </w:rPr>
        <w:t>t</w:t>
      </w:r>
      <w:r w:rsidR="006E38F1">
        <w:rPr>
          <w:rFonts w:ascii="Arial" w:hAnsi="Arial" w:cs="Arial"/>
          <w:sz w:val="22"/>
          <w:szCs w:val="22"/>
        </w:rPr>
        <w:t>obacco-</w:t>
      </w:r>
      <w:r>
        <w:rPr>
          <w:rFonts w:ascii="Arial" w:hAnsi="Arial" w:cs="Arial"/>
          <w:sz w:val="22"/>
          <w:szCs w:val="22"/>
        </w:rPr>
        <w:t>free.</w:t>
      </w:r>
      <w:r w:rsidRPr="00AE581B">
        <w:rPr>
          <w:rFonts w:ascii="Arial" w:hAnsi="Arial" w:cs="Arial"/>
          <w:sz w:val="22"/>
          <w:szCs w:val="22"/>
        </w:rPr>
        <w:t xml:space="preserve"> </w:t>
      </w:r>
      <w:r w:rsidR="006E38F1">
        <w:rPr>
          <w:rFonts w:ascii="Arial" w:hAnsi="Arial" w:cs="Arial"/>
          <w:sz w:val="22"/>
          <w:szCs w:val="22"/>
        </w:rPr>
        <w:t xml:space="preserve">On </w:t>
      </w:r>
      <w:r>
        <w:rPr>
          <w:rFonts w:ascii="Arial" w:hAnsi="Arial" w:cs="Arial"/>
          <w:sz w:val="22"/>
          <w:szCs w:val="22"/>
        </w:rPr>
        <w:t>August 4, 2009</w:t>
      </w:r>
      <w:r w:rsidRPr="00AE581B">
        <w:rPr>
          <w:rFonts w:ascii="Arial" w:hAnsi="Arial" w:cs="Arial"/>
          <w:sz w:val="22"/>
          <w:szCs w:val="22"/>
        </w:rPr>
        <w:t xml:space="preserve">, the Chancellor announced </w:t>
      </w:r>
      <w:r w:rsidR="00D7481B">
        <w:rPr>
          <w:rFonts w:ascii="Arial" w:hAnsi="Arial" w:cs="Arial"/>
          <w:sz w:val="22"/>
          <w:szCs w:val="22"/>
        </w:rPr>
        <w:t xml:space="preserve">that, </w:t>
      </w:r>
      <w:r w:rsidRPr="00AE581B">
        <w:rPr>
          <w:rFonts w:ascii="Arial" w:hAnsi="Arial" w:cs="Arial"/>
          <w:sz w:val="22"/>
          <w:szCs w:val="22"/>
        </w:rPr>
        <w:t xml:space="preserve">effective July 1, 2010, Montana Tech will become </w:t>
      </w:r>
      <w:r w:rsidR="00873AB8">
        <w:rPr>
          <w:rFonts w:ascii="Arial" w:hAnsi="Arial" w:cs="Arial"/>
          <w:b/>
          <w:sz w:val="22"/>
          <w:szCs w:val="22"/>
        </w:rPr>
        <w:t>t</w:t>
      </w:r>
      <w:r w:rsidR="006E38F1">
        <w:rPr>
          <w:rFonts w:ascii="Arial" w:hAnsi="Arial" w:cs="Arial"/>
          <w:b/>
          <w:sz w:val="22"/>
          <w:szCs w:val="22"/>
        </w:rPr>
        <w:t>obacco-</w:t>
      </w:r>
      <w:r w:rsidR="00873AB8">
        <w:rPr>
          <w:rFonts w:ascii="Arial" w:hAnsi="Arial" w:cs="Arial"/>
          <w:b/>
          <w:sz w:val="22"/>
          <w:szCs w:val="22"/>
        </w:rPr>
        <w:t>f</w:t>
      </w:r>
      <w:r w:rsidRPr="00AE581B">
        <w:rPr>
          <w:rFonts w:ascii="Arial" w:hAnsi="Arial" w:cs="Arial"/>
          <w:b/>
          <w:sz w:val="22"/>
          <w:szCs w:val="22"/>
        </w:rPr>
        <w:t>ree</w:t>
      </w:r>
      <w:r w:rsidRPr="00AE581B">
        <w:rPr>
          <w:rFonts w:ascii="Arial" w:hAnsi="Arial" w:cs="Arial"/>
          <w:sz w:val="22"/>
          <w:szCs w:val="22"/>
        </w:rPr>
        <w:t xml:space="preserve">.  </w:t>
      </w:r>
    </w:p>
    <w:p w:rsidR="00F31EE6" w:rsidRDefault="00F31EE6" w:rsidP="001B4D6A">
      <w:pPr>
        <w:rPr>
          <w:rFonts w:ascii="Arial" w:hAnsi="Arial" w:cs="Arial"/>
          <w:sz w:val="22"/>
          <w:szCs w:val="22"/>
        </w:rPr>
      </w:pPr>
    </w:p>
    <w:p w:rsidR="007E57A0" w:rsidRPr="0089684E" w:rsidRDefault="007E57A0" w:rsidP="001B4D6A">
      <w:pPr>
        <w:rPr>
          <w:rFonts w:ascii="Arial" w:hAnsi="Arial" w:cs="Arial"/>
          <w:b/>
          <w:sz w:val="22"/>
          <w:szCs w:val="22"/>
        </w:rPr>
      </w:pPr>
      <w:r w:rsidRPr="0089684E">
        <w:rPr>
          <w:rFonts w:ascii="Arial" w:hAnsi="Arial" w:cs="Arial"/>
          <w:b/>
          <w:sz w:val="22"/>
          <w:szCs w:val="22"/>
        </w:rPr>
        <w:t>3</w:t>
      </w:r>
      <w:r>
        <w:rPr>
          <w:rFonts w:ascii="Arial" w:hAnsi="Arial" w:cs="Arial"/>
          <w:b/>
          <w:sz w:val="22"/>
          <w:szCs w:val="22"/>
        </w:rPr>
        <w:t>.B.5</w:t>
      </w:r>
      <w:r>
        <w:rPr>
          <w:rFonts w:ascii="Arial" w:hAnsi="Arial" w:cs="Arial"/>
          <w:b/>
          <w:sz w:val="22"/>
          <w:szCs w:val="22"/>
        </w:rPr>
        <w:tab/>
      </w:r>
      <w:r w:rsidRPr="0089684E">
        <w:rPr>
          <w:rFonts w:ascii="Arial" w:hAnsi="Arial" w:cs="Arial"/>
          <w:b/>
          <w:sz w:val="22"/>
          <w:szCs w:val="22"/>
        </w:rPr>
        <w:t>The institution publishes and makes available to both prospective and enrolled students a cata</w:t>
      </w:r>
      <w:r>
        <w:rPr>
          <w:rFonts w:ascii="Arial" w:hAnsi="Arial" w:cs="Arial"/>
          <w:b/>
          <w:sz w:val="22"/>
          <w:szCs w:val="22"/>
        </w:rPr>
        <w:t xml:space="preserve">log or bulletin that describes </w:t>
      </w:r>
      <w:r w:rsidRPr="0089684E">
        <w:rPr>
          <w:rFonts w:ascii="Arial" w:hAnsi="Arial" w:cs="Arial"/>
          <w:b/>
          <w:sz w:val="22"/>
          <w:szCs w:val="22"/>
        </w:rPr>
        <w:t>its mission, admission requirements and procedures, students’ rights and responsibilities, academic regulations, degree-completion requirements, credit courses and descriptions, tuition, fees and other charges, refund policy, and other items relative to attending the institution or withdrawing from it. In addition, a student handbook or its equivalent is published and distributed. A student handbook normally will include information on student conduct, a grievance policy, academic honesty, student government, student organizations and services, and athletics. The student handbook may be combined with the institution’s catalog.</w:t>
      </w:r>
    </w:p>
    <w:p w:rsidR="007E57A0" w:rsidRDefault="007E57A0" w:rsidP="001B4D6A">
      <w:pPr>
        <w:rPr>
          <w:rFonts w:ascii="Arial" w:hAnsi="Arial" w:cs="Arial"/>
          <w:b/>
          <w:sz w:val="22"/>
          <w:szCs w:val="22"/>
        </w:rPr>
      </w:pPr>
    </w:p>
    <w:p w:rsidR="007E57A0" w:rsidRPr="00AB310E" w:rsidRDefault="007E57A0" w:rsidP="001B4D6A">
      <w:pPr>
        <w:rPr>
          <w:rFonts w:ascii="Arial" w:hAnsi="Arial" w:cs="Arial"/>
          <w:sz w:val="20"/>
          <w:szCs w:val="20"/>
        </w:rPr>
      </w:pPr>
      <w:r w:rsidRPr="00C10285">
        <w:rPr>
          <w:rFonts w:ascii="Arial" w:hAnsi="Arial" w:cs="Arial"/>
          <w:sz w:val="22"/>
          <w:szCs w:val="22"/>
        </w:rPr>
        <w:t xml:space="preserve">Montana Tech </w:t>
      </w:r>
      <w:r w:rsidR="007A5BD0">
        <w:rPr>
          <w:rFonts w:ascii="Arial" w:hAnsi="Arial" w:cs="Arial"/>
          <w:color w:val="0033CC"/>
          <w:sz w:val="22"/>
          <w:szCs w:val="22"/>
        </w:rPr>
        <w:t xml:space="preserve">annually </w:t>
      </w:r>
      <w:r w:rsidRPr="00C10285">
        <w:rPr>
          <w:rFonts w:ascii="Arial" w:hAnsi="Arial" w:cs="Arial"/>
          <w:sz w:val="22"/>
          <w:szCs w:val="22"/>
        </w:rPr>
        <w:t xml:space="preserve">publishes </w:t>
      </w:r>
      <w:r w:rsidR="00896AE2">
        <w:rPr>
          <w:rFonts w:ascii="Arial" w:hAnsi="Arial" w:cs="Arial"/>
          <w:color w:val="0033CC"/>
          <w:sz w:val="22"/>
          <w:szCs w:val="22"/>
        </w:rPr>
        <w:t>an electronic &amp; hard copy of the</w:t>
      </w:r>
      <w:r w:rsidRPr="00C10285">
        <w:rPr>
          <w:rFonts w:ascii="Arial" w:hAnsi="Arial" w:cs="Arial"/>
          <w:sz w:val="22"/>
          <w:szCs w:val="22"/>
        </w:rPr>
        <w:t xml:space="preserve"> catalog </w:t>
      </w:r>
      <w:r w:rsidR="007A5BD0">
        <w:rPr>
          <w:rFonts w:ascii="Arial" w:hAnsi="Arial" w:cs="Arial"/>
          <w:sz w:val="22"/>
          <w:szCs w:val="22"/>
        </w:rPr>
        <w:t xml:space="preserve">and student handbook.  </w:t>
      </w:r>
      <w:r w:rsidRPr="00AB310E">
        <w:rPr>
          <w:rFonts w:ascii="Arial" w:hAnsi="Arial"/>
          <w:sz w:val="22"/>
          <w:szCs w:val="22"/>
          <w:lang w:eastAsia="en-US"/>
        </w:rPr>
        <w:t>(</w:t>
      </w:r>
      <w:r w:rsidR="00D7481B" w:rsidRPr="00AB310E">
        <w:rPr>
          <w:rFonts w:ascii="Arial" w:hAnsi="Arial"/>
          <w:sz w:val="22"/>
          <w:szCs w:val="22"/>
          <w:lang w:eastAsia="en-US"/>
        </w:rPr>
        <w:t xml:space="preserve">See </w:t>
      </w:r>
      <w:r w:rsidRPr="00AB310E">
        <w:rPr>
          <w:rFonts w:ascii="Arial" w:hAnsi="Arial"/>
          <w:sz w:val="22"/>
          <w:szCs w:val="22"/>
          <w:lang w:eastAsia="en-US"/>
        </w:rPr>
        <w:t>Exhibits</w:t>
      </w:r>
      <w:r w:rsidRPr="00AB310E">
        <w:rPr>
          <w:rFonts w:ascii="Arial" w:hAnsi="Arial"/>
          <w:color w:val="0033CC"/>
          <w:sz w:val="22"/>
          <w:szCs w:val="22"/>
          <w:lang w:eastAsia="en-US"/>
        </w:rPr>
        <w:t xml:space="preserve"> </w:t>
      </w:r>
      <w:r w:rsidRPr="00AB310E">
        <w:rPr>
          <w:rFonts w:ascii="Arial" w:hAnsi="Arial"/>
          <w:sz w:val="22"/>
          <w:szCs w:val="22"/>
          <w:lang w:eastAsia="en-US"/>
        </w:rPr>
        <w:t>3.A.II</w:t>
      </w:r>
      <w:r w:rsidR="00AB310E">
        <w:rPr>
          <w:rFonts w:ascii="Arial" w:hAnsi="Arial"/>
          <w:sz w:val="22"/>
          <w:szCs w:val="22"/>
          <w:lang w:eastAsia="en-US"/>
        </w:rPr>
        <w:t>I</w:t>
      </w:r>
      <w:r w:rsidR="00D7481B" w:rsidRPr="00AB310E">
        <w:rPr>
          <w:rFonts w:ascii="Arial" w:hAnsi="Arial"/>
          <w:sz w:val="22"/>
          <w:szCs w:val="22"/>
          <w:lang w:eastAsia="en-US"/>
        </w:rPr>
        <w:t>:</w:t>
      </w:r>
      <w:r w:rsidRPr="00AB310E">
        <w:rPr>
          <w:rFonts w:ascii="Arial" w:hAnsi="Arial"/>
          <w:sz w:val="22"/>
          <w:szCs w:val="22"/>
          <w:lang w:eastAsia="en-US"/>
        </w:rPr>
        <w:t xml:space="preserve"> </w:t>
      </w:r>
      <w:hyperlink r:id="rId39" w:history="1">
        <w:r w:rsidRPr="00183A53">
          <w:rPr>
            <w:rStyle w:val="Hyperlink"/>
            <w:rFonts w:ascii="Arial" w:hAnsi="Arial"/>
            <w:i/>
            <w:sz w:val="22"/>
            <w:szCs w:val="22"/>
            <w:lang w:eastAsia="en-US"/>
          </w:rPr>
          <w:t>Catalog</w:t>
        </w:r>
      </w:hyperlink>
      <w:r w:rsidR="000458CB">
        <w:rPr>
          <w:rFonts w:ascii="Arial" w:hAnsi="Arial"/>
          <w:sz w:val="22"/>
          <w:szCs w:val="22"/>
          <w:lang w:eastAsia="en-US"/>
        </w:rPr>
        <w:t xml:space="preserve"> &amp; 3.B.I</w:t>
      </w:r>
      <w:r w:rsidR="00D7481B" w:rsidRPr="00AB310E">
        <w:rPr>
          <w:rFonts w:ascii="Arial" w:hAnsi="Arial"/>
          <w:sz w:val="22"/>
          <w:szCs w:val="22"/>
          <w:lang w:eastAsia="en-US"/>
        </w:rPr>
        <w:t>:</w:t>
      </w:r>
      <w:r w:rsidRPr="00AB310E">
        <w:rPr>
          <w:rFonts w:ascii="Arial" w:hAnsi="Arial"/>
          <w:sz w:val="22"/>
          <w:szCs w:val="22"/>
          <w:lang w:eastAsia="en-US"/>
        </w:rPr>
        <w:t xml:space="preserve"> </w:t>
      </w:r>
      <w:hyperlink r:id="rId40" w:history="1">
        <w:r w:rsidRPr="00074FD9">
          <w:rPr>
            <w:rStyle w:val="Hyperlink"/>
            <w:rFonts w:ascii="Arial" w:hAnsi="Arial"/>
            <w:i/>
            <w:sz w:val="22"/>
            <w:szCs w:val="22"/>
            <w:lang w:eastAsia="en-US"/>
          </w:rPr>
          <w:t>Student Handbook</w:t>
        </w:r>
      </w:hyperlink>
      <w:r w:rsidR="00AB310E" w:rsidRPr="006E614B">
        <w:rPr>
          <w:rFonts w:ascii="Arial" w:hAnsi="Arial"/>
          <w:i/>
          <w:color w:val="0033CC"/>
          <w:sz w:val="22"/>
          <w:szCs w:val="22"/>
          <w:u w:val="single"/>
          <w:lang w:eastAsia="en-US"/>
        </w:rPr>
        <w:t>.</w:t>
      </w:r>
      <w:r w:rsidRPr="006E614B">
        <w:rPr>
          <w:rFonts w:ascii="Arial" w:hAnsi="Arial"/>
          <w:sz w:val="22"/>
          <w:szCs w:val="22"/>
          <w:lang w:eastAsia="en-US"/>
        </w:rPr>
        <w:t>)</w:t>
      </w:r>
    </w:p>
    <w:p w:rsidR="007E57A0" w:rsidRPr="00AB310E" w:rsidRDefault="007E57A0" w:rsidP="001B4D6A">
      <w:pPr>
        <w:rPr>
          <w:rFonts w:ascii="Arial" w:hAnsi="Arial" w:cs="Arial"/>
          <w:strike/>
          <w:sz w:val="22"/>
          <w:szCs w:val="22"/>
        </w:rPr>
      </w:pPr>
    </w:p>
    <w:p w:rsidR="007E57A0" w:rsidRPr="00C74C86" w:rsidRDefault="007E57A0" w:rsidP="001B4D6A">
      <w:pPr>
        <w:rPr>
          <w:rFonts w:ascii="Arial" w:hAnsi="Arial" w:cs="Arial"/>
          <w:sz w:val="22"/>
          <w:szCs w:val="22"/>
        </w:rPr>
      </w:pPr>
      <w:r>
        <w:rPr>
          <w:rFonts w:ascii="Arial" w:hAnsi="Arial" w:cs="Arial"/>
          <w:sz w:val="22"/>
          <w:szCs w:val="22"/>
        </w:rPr>
        <w:t>The 2009/2010</w:t>
      </w:r>
      <w:r w:rsidRPr="008B0519">
        <w:rPr>
          <w:rFonts w:ascii="Arial" w:hAnsi="Arial" w:cs="Arial"/>
          <w:sz w:val="22"/>
          <w:szCs w:val="22"/>
        </w:rPr>
        <w:t xml:space="preserve"> </w:t>
      </w:r>
      <w:r w:rsidR="00D7481B">
        <w:rPr>
          <w:rFonts w:ascii="Arial" w:hAnsi="Arial" w:cs="Arial"/>
          <w:sz w:val="22"/>
          <w:szCs w:val="22"/>
        </w:rPr>
        <w:t>C</w:t>
      </w:r>
      <w:r>
        <w:rPr>
          <w:rFonts w:ascii="Arial" w:hAnsi="Arial" w:cs="Arial"/>
          <w:sz w:val="22"/>
          <w:szCs w:val="22"/>
        </w:rPr>
        <w:t xml:space="preserve">atalog </w:t>
      </w:r>
      <w:r w:rsidRPr="008B0519">
        <w:rPr>
          <w:rFonts w:ascii="Arial" w:hAnsi="Arial" w:cs="Arial"/>
          <w:sz w:val="22"/>
          <w:szCs w:val="22"/>
        </w:rPr>
        <w:t xml:space="preserve">provides all general and specific academic and student services </w:t>
      </w:r>
      <w:r w:rsidRPr="000458CB">
        <w:rPr>
          <w:rFonts w:ascii="Arial" w:hAnsi="Arial" w:cs="Arial"/>
          <w:sz w:val="22"/>
          <w:szCs w:val="22"/>
        </w:rPr>
        <w:t xml:space="preserve">information required by prospective and currently-enrolled students.  The Montana Tech </w:t>
      </w:r>
      <w:r w:rsidRPr="00925C9C">
        <w:rPr>
          <w:rFonts w:ascii="Arial" w:hAnsi="Arial" w:cs="Arial"/>
          <w:sz w:val="22"/>
          <w:szCs w:val="22"/>
        </w:rPr>
        <w:t>Student Handbook</w:t>
      </w:r>
      <w:r w:rsidRPr="000458CB">
        <w:rPr>
          <w:rFonts w:ascii="Arial" w:hAnsi="Arial" w:cs="Arial"/>
          <w:sz w:val="22"/>
          <w:szCs w:val="22"/>
        </w:rPr>
        <w:t xml:space="preserve"> (published separately from the catalog), is distributed to all new students at orientation</w:t>
      </w:r>
      <w:r w:rsidR="007A5BD0" w:rsidRPr="000458CB">
        <w:rPr>
          <w:rFonts w:ascii="Arial" w:hAnsi="Arial" w:cs="Arial"/>
          <w:sz w:val="22"/>
          <w:szCs w:val="22"/>
        </w:rPr>
        <w:t xml:space="preserve"> and is available to all students upon request</w:t>
      </w:r>
      <w:r w:rsidRPr="000458CB">
        <w:rPr>
          <w:rFonts w:ascii="Arial" w:hAnsi="Arial" w:cs="Arial"/>
          <w:sz w:val="22"/>
          <w:szCs w:val="22"/>
        </w:rPr>
        <w:t xml:space="preserve">.  The Handbook provides information on emergency response instructions, student services, </w:t>
      </w:r>
      <w:r w:rsidR="00D7481B" w:rsidRPr="000458CB">
        <w:rPr>
          <w:rFonts w:ascii="Arial" w:hAnsi="Arial" w:cs="Arial"/>
          <w:sz w:val="22"/>
          <w:szCs w:val="22"/>
        </w:rPr>
        <w:t xml:space="preserve">and on </w:t>
      </w:r>
      <w:r w:rsidRPr="000458CB">
        <w:rPr>
          <w:rFonts w:ascii="Arial" w:hAnsi="Arial" w:cs="Arial"/>
          <w:sz w:val="22"/>
          <w:szCs w:val="22"/>
        </w:rPr>
        <w:t>organizations</w:t>
      </w:r>
      <w:r w:rsidR="00D7481B" w:rsidRPr="000458CB">
        <w:rPr>
          <w:rFonts w:ascii="Arial" w:hAnsi="Arial" w:cs="Arial"/>
          <w:sz w:val="22"/>
          <w:szCs w:val="22"/>
        </w:rPr>
        <w:t xml:space="preserve"> and policies</w:t>
      </w:r>
      <w:r w:rsidRPr="000458CB">
        <w:rPr>
          <w:rFonts w:ascii="Arial" w:hAnsi="Arial" w:cs="Arial"/>
          <w:sz w:val="22"/>
          <w:szCs w:val="22"/>
        </w:rPr>
        <w:t xml:space="preserve"> and lis</w:t>
      </w:r>
      <w:r w:rsidR="00D7481B" w:rsidRPr="000458CB">
        <w:rPr>
          <w:rFonts w:ascii="Arial" w:hAnsi="Arial" w:cs="Arial"/>
          <w:sz w:val="22"/>
          <w:szCs w:val="22"/>
        </w:rPr>
        <w:t xml:space="preserve">ts </w:t>
      </w:r>
      <w:r w:rsidR="00D7481B" w:rsidRPr="00C74C86">
        <w:rPr>
          <w:rFonts w:ascii="Arial" w:hAnsi="Arial" w:cs="Arial"/>
          <w:sz w:val="22"/>
          <w:szCs w:val="22"/>
        </w:rPr>
        <w:t>important events/dates for</w:t>
      </w:r>
      <w:r w:rsidRPr="00C74C86">
        <w:rPr>
          <w:rFonts w:ascii="Arial" w:hAnsi="Arial" w:cs="Arial"/>
          <w:sz w:val="22"/>
          <w:szCs w:val="22"/>
        </w:rPr>
        <w:t xml:space="preserve"> the academic year.  The Student Handbook is updated and pu</w:t>
      </w:r>
      <w:r w:rsidR="00896AE2" w:rsidRPr="00C74C86">
        <w:rPr>
          <w:rFonts w:ascii="Arial" w:hAnsi="Arial" w:cs="Arial"/>
          <w:sz w:val="22"/>
          <w:szCs w:val="22"/>
        </w:rPr>
        <w:t>blished yearly.</w:t>
      </w:r>
      <w:r w:rsidR="005C7336" w:rsidRPr="00C74C86">
        <w:rPr>
          <w:rFonts w:ascii="Arial" w:hAnsi="Arial" w:cs="Arial"/>
          <w:sz w:val="22"/>
          <w:szCs w:val="22"/>
        </w:rPr>
        <w:t xml:space="preserve">  </w:t>
      </w:r>
      <w:r w:rsidR="00D178B5" w:rsidRPr="00C74C86">
        <w:rPr>
          <w:rFonts w:ascii="Arial" w:hAnsi="Arial" w:cs="Arial"/>
          <w:sz w:val="22"/>
          <w:szCs w:val="22"/>
        </w:rPr>
        <w:t>S</w:t>
      </w:r>
      <w:r w:rsidR="005C7336" w:rsidRPr="00C74C86">
        <w:rPr>
          <w:rFonts w:ascii="Arial" w:hAnsi="Arial" w:cs="Arial"/>
          <w:sz w:val="22"/>
          <w:szCs w:val="22"/>
        </w:rPr>
        <w:t>atisfaction with</w:t>
      </w:r>
      <w:r w:rsidR="00017F5D" w:rsidRPr="00C74C86">
        <w:rPr>
          <w:rFonts w:ascii="Arial" w:hAnsi="Arial" w:cs="Arial"/>
          <w:sz w:val="22"/>
          <w:szCs w:val="22"/>
        </w:rPr>
        <w:t xml:space="preserve"> information in the H</w:t>
      </w:r>
      <w:r w:rsidR="00896AE2" w:rsidRPr="00C74C86">
        <w:rPr>
          <w:rFonts w:ascii="Arial" w:hAnsi="Arial" w:cs="Arial"/>
          <w:sz w:val="22"/>
          <w:szCs w:val="22"/>
        </w:rPr>
        <w:t>andbook ha</w:t>
      </w:r>
      <w:r w:rsidR="00D178B5" w:rsidRPr="00C74C86">
        <w:rPr>
          <w:rFonts w:ascii="Arial" w:hAnsi="Arial" w:cs="Arial"/>
          <w:sz w:val="22"/>
          <w:szCs w:val="22"/>
        </w:rPr>
        <w:t>s steadily increased since 2003</w:t>
      </w:r>
      <w:r w:rsidR="00017F5D" w:rsidRPr="00C74C86">
        <w:rPr>
          <w:rFonts w:ascii="Arial" w:hAnsi="Arial" w:cs="Arial"/>
          <w:sz w:val="22"/>
          <w:szCs w:val="22"/>
        </w:rPr>
        <w:t>.</w:t>
      </w:r>
      <w:r w:rsidR="00D178B5" w:rsidRPr="00C74C86">
        <w:rPr>
          <w:rFonts w:ascii="Arial" w:hAnsi="Arial" w:cs="Arial"/>
          <w:sz w:val="22"/>
          <w:szCs w:val="22"/>
        </w:rPr>
        <w:t xml:space="preserve"> </w:t>
      </w:r>
      <w:r w:rsidR="00017F5D" w:rsidRPr="00C74C86">
        <w:rPr>
          <w:rFonts w:ascii="Arial" w:hAnsi="Arial" w:cs="Arial"/>
          <w:sz w:val="22"/>
          <w:szCs w:val="22"/>
        </w:rPr>
        <w:t>(S</w:t>
      </w:r>
      <w:r w:rsidR="00D178B5" w:rsidRPr="00C74C86">
        <w:rPr>
          <w:rFonts w:ascii="Arial" w:hAnsi="Arial" w:cs="Arial"/>
          <w:sz w:val="22"/>
          <w:szCs w:val="22"/>
        </w:rPr>
        <w:t>ee Figure 3.B.3</w:t>
      </w:r>
      <w:r w:rsidR="00017F5D" w:rsidRPr="00C74C86">
        <w:rPr>
          <w:rFonts w:ascii="Arial" w:hAnsi="Arial" w:cs="Arial"/>
          <w:sz w:val="22"/>
          <w:szCs w:val="22"/>
        </w:rPr>
        <w:t>: Student Satisfaction Surveys.)</w:t>
      </w:r>
    </w:p>
    <w:p w:rsidR="00176306" w:rsidRDefault="00176306" w:rsidP="001B4D6A">
      <w:pPr>
        <w:rPr>
          <w:rFonts w:ascii="Arial" w:hAnsi="Arial" w:cs="Arial"/>
          <w:sz w:val="22"/>
          <w:szCs w:val="22"/>
        </w:rPr>
      </w:pPr>
    </w:p>
    <w:p w:rsidR="007E57A0" w:rsidRPr="005B1FBC" w:rsidRDefault="005A4788" w:rsidP="001B4D6A">
      <w:pPr>
        <w:jc w:val="center"/>
        <w:rPr>
          <w:rFonts w:ascii="Arial" w:hAnsi="Arial" w:cs="Arial"/>
          <w:b/>
          <w:sz w:val="22"/>
          <w:szCs w:val="22"/>
        </w:rPr>
      </w:pPr>
      <w:r w:rsidRPr="005A4788">
        <w:rPr>
          <w:noProof/>
          <w:szCs w:val="22"/>
          <w:lang w:eastAsia="en-US"/>
        </w:rPr>
        <w:drawing>
          <wp:inline distT="0" distB="0" distL="0" distR="0">
            <wp:extent cx="4687910" cy="3200400"/>
            <wp:effectExtent l="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41344C" w:rsidRDefault="0041344C" w:rsidP="001B4D6A">
      <w:pPr>
        <w:jc w:val="center"/>
        <w:rPr>
          <w:rFonts w:ascii="Arial" w:hAnsi="Arial" w:cs="Arial"/>
          <w:b/>
          <w:sz w:val="22"/>
          <w:szCs w:val="22"/>
        </w:rPr>
      </w:pPr>
    </w:p>
    <w:p w:rsidR="00D7481B" w:rsidRPr="005B1FBC" w:rsidRDefault="00D7481B" w:rsidP="001B4D6A">
      <w:pPr>
        <w:jc w:val="center"/>
        <w:rPr>
          <w:rFonts w:ascii="Arial" w:hAnsi="Arial" w:cs="Arial"/>
          <w:b/>
          <w:sz w:val="22"/>
          <w:szCs w:val="22"/>
        </w:rPr>
      </w:pPr>
      <w:r>
        <w:rPr>
          <w:rFonts w:ascii="Arial" w:hAnsi="Arial" w:cs="Arial"/>
          <w:b/>
          <w:sz w:val="22"/>
          <w:szCs w:val="22"/>
        </w:rPr>
        <w:t>Figure</w:t>
      </w:r>
      <w:r w:rsidR="007D516A">
        <w:rPr>
          <w:rFonts w:ascii="Arial" w:hAnsi="Arial" w:cs="Arial"/>
          <w:b/>
          <w:sz w:val="22"/>
          <w:szCs w:val="22"/>
        </w:rPr>
        <w:t xml:space="preserve"> 3.B.3</w:t>
      </w:r>
      <w:r>
        <w:rPr>
          <w:rFonts w:ascii="Arial" w:hAnsi="Arial" w:cs="Arial"/>
          <w:b/>
          <w:sz w:val="22"/>
          <w:szCs w:val="22"/>
        </w:rPr>
        <w:t>: Student Satisfaction Surveys</w:t>
      </w:r>
    </w:p>
    <w:p w:rsidR="00D7481B" w:rsidRDefault="00D7481B" w:rsidP="001B4D6A">
      <w:pPr>
        <w:rPr>
          <w:rFonts w:ascii="Arial" w:hAnsi="Arial" w:cs="Arial"/>
          <w:b/>
          <w:sz w:val="22"/>
          <w:szCs w:val="22"/>
        </w:rPr>
      </w:pPr>
    </w:p>
    <w:p w:rsidR="00BC185F" w:rsidRPr="0041344C" w:rsidRDefault="007E57A0" w:rsidP="001B4D6A">
      <w:pPr>
        <w:rPr>
          <w:rFonts w:ascii="Arial" w:hAnsi="Arial" w:cs="Arial"/>
          <w:sz w:val="22"/>
          <w:szCs w:val="22"/>
        </w:rPr>
      </w:pPr>
      <w:r>
        <w:rPr>
          <w:rFonts w:ascii="Arial" w:hAnsi="Arial" w:cs="Arial"/>
          <w:b/>
          <w:sz w:val="22"/>
          <w:szCs w:val="22"/>
        </w:rPr>
        <w:lastRenderedPageBreak/>
        <w:t>3.B.6</w:t>
      </w:r>
      <w:r>
        <w:rPr>
          <w:rFonts w:ascii="Arial" w:hAnsi="Arial" w:cs="Arial"/>
          <w:b/>
          <w:sz w:val="22"/>
          <w:szCs w:val="22"/>
        </w:rPr>
        <w:tab/>
      </w:r>
      <w:r w:rsidRPr="0089684E">
        <w:rPr>
          <w:rFonts w:ascii="Arial" w:hAnsi="Arial" w:cs="Arial"/>
          <w:b/>
          <w:sz w:val="22"/>
          <w:szCs w:val="22"/>
        </w:rPr>
        <w:t>The institution periodically and systematically evaluates the appropriateness, adequacy, and utilization of student services and programs and uses the results of the evaluation as a basis for change.</w:t>
      </w:r>
    </w:p>
    <w:p w:rsidR="00BC185F" w:rsidRDefault="00BC185F" w:rsidP="001B4D6A">
      <w:pPr>
        <w:rPr>
          <w:rFonts w:ascii="Arial" w:hAnsi="Arial" w:cs="Arial"/>
          <w:b/>
          <w:sz w:val="22"/>
          <w:szCs w:val="22"/>
        </w:rPr>
      </w:pPr>
    </w:p>
    <w:p w:rsidR="00E87ADB" w:rsidRDefault="00BC185F" w:rsidP="001B4D6A">
      <w:pPr>
        <w:pStyle w:val="PlainText"/>
        <w:rPr>
          <w:rFonts w:cs="Arial"/>
          <w:color w:val="auto"/>
          <w:sz w:val="22"/>
          <w:szCs w:val="22"/>
        </w:rPr>
      </w:pPr>
      <w:r>
        <w:rPr>
          <w:rFonts w:cs="Arial"/>
          <w:color w:val="auto"/>
          <w:sz w:val="22"/>
          <w:szCs w:val="22"/>
        </w:rPr>
        <w:t xml:space="preserve">Advisory groups, such as the Campus Access Committee, Advising/Retention Steering Committee, </w:t>
      </w:r>
      <w:r w:rsidR="00D7481B">
        <w:rPr>
          <w:rFonts w:cs="Arial"/>
          <w:color w:val="auto"/>
          <w:sz w:val="22"/>
          <w:szCs w:val="22"/>
        </w:rPr>
        <w:t xml:space="preserve">the </w:t>
      </w:r>
      <w:r>
        <w:rPr>
          <w:rFonts w:cs="Arial"/>
          <w:color w:val="auto"/>
          <w:sz w:val="22"/>
          <w:szCs w:val="22"/>
        </w:rPr>
        <w:t xml:space="preserve">Bookstore Advisory Board, Strategic Planning Committee, </w:t>
      </w:r>
      <w:r w:rsidR="00D7481B">
        <w:rPr>
          <w:rFonts w:cs="Arial"/>
          <w:color w:val="auto"/>
          <w:sz w:val="22"/>
          <w:szCs w:val="22"/>
        </w:rPr>
        <w:t xml:space="preserve">the </w:t>
      </w:r>
      <w:r>
        <w:rPr>
          <w:rFonts w:cs="Arial"/>
          <w:color w:val="auto"/>
          <w:sz w:val="22"/>
          <w:szCs w:val="22"/>
        </w:rPr>
        <w:t xml:space="preserve">Chancellor’s Cabinet, and Chancellor’s Advisory Committee </w:t>
      </w:r>
      <w:r w:rsidRPr="00D45661">
        <w:rPr>
          <w:rFonts w:cs="Arial"/>
          <w:color w:val="auto"/>
          <w:sz w:val="22"/>
          <w:szCs w:val="22"/>
        </w:rPr>
        <w:t>provide on-going</w:t>
      </w:r>
      <w:r>
        <w:rPr>
          <w:rFonts w:cs="Arial"/>
          <w:color w:val="auto"/>
          <w:sz w:val="22"/>
          <w:szCs w:val="22"/>
        </w:rPr>
        <w:t xml:space="preserve"> feedback for program improvement and are used to monitor services to students.</w:t>
      </w:r>
      <w:r w:rsidR="00E87ADB">
        <w:rPr>
          <w:rFonts w:cs="Arial"/>
          <w:color w:val="auto"/>
          <w:sz w:val="22"/>
          <w:szCs w:val="22"/>
        </w:rPr>
        <w:t xml:space="preserve"> </w:t>
      </w:r>
    </w:p>
    <w:p w:rsidR="00E87ADB" w:rsidRDefault="00E87ADB" w:rsidP="001B4D6A">
      <w:pPr>
        <w:pStyle w:val="PlainText"/>
        <w:rPr>
          <w:rFonts w:cs="Arial"/>
          <w:color w:val="auto"/>
          <w:sz w:val="22"/>
          <w:szCs w:val="22"/>
        </w:rPr>
      </w:pPr>
    </w:p>
    <w:p w:rsidR="006032C9" w:rsidRPr="00C74C86" w:rsidRDefault="006032C9" w:rsidP="001B4D6A">
      <w:pPr>
        <w:pStyle w:val="PlainText"/>
        <w:rPr>
          <w:rFonts w:cs="Arial"/>
          <w:color w:val="auto"/>
          <w:sz w:val="22"/>
          <w:szCs w:val="22"/>
        </w:rPr>
      </w:pPr>
      <w:r w:rsidRPr="00C74C86">
        <w:rPr>
          <w:rFonts w:cs="Arial"/>
          <w:color w:val="auto"/>
          <w:sz w:val="22"/>
          <w:szCs w:val="22"/>
        </w:rPr>
        <w:t>Tech’s Student Life Staff meets bimonthly to discuss, implement, and improve programs with a focus on the First Year Experience (FYE). Topics include summer registration events, Fall/Spring orientations, extended orientation events, and additional student activities scheduled throughout the semester.  Programs are developed, implemented</w:t>
      </w:r>
      <w:r w:rsidR="00017F5D" w:rsidRPr="00C74C86">
        <w:rPr>
          <w:rFonts w:cs="Arial"/>
          <w:color w:val="auto"/>
          <w:sz w:val="22"/>
          <w:szCs w:val="22"/>
        </w:rPr>
        <w:t>,</w:t>
      </w:r>
      <w:r w:rsidRPr="00C74C86">
        <w:rPr>
          <w:rFonts w:cs="Arial"/>
          <w:color w:val="auto"/>
          <w:sz w:val="22"/>
          <w:szCs w:val="22"/>
        </w:rPr>
        <w:t xml:space="preserve"> and evaluated.  </w:t>
      </w:r>
    </w:p>
    <w:p w:rsidR="00E87ADB" w:rsidRPr="00E87ADB" w:rsidRDefault="00E87ADB" w:rsidP="001B4D6A">
      <w:pPr>
        <w:pStyle w:val="PlainText"/>
        <w:rPr>
          <w:rFonts w:cs="Arial"/>
          <w:color w:val="auto"/>
          <w:sz w:val="22"/>
          <w:szCs w:val="22"/>
        </w:rPr>
      </w:pPr>
    </w:p>
    <w:p w:rsidR="007E57A0" w:rsidRPr="00E87ADB" w:rsidRDefault="007E57A0" w:rsidP="001B4D6A">
      <w:pPr>
        <w:rPr>
          <w:rFonts w:ascii="Arial" w:hAnsi="Arial" w:cs="Arial"/>
          <w:sz w:val="22"/>
          <w:szCs w:val="22"/>
        </w:rPr>
      </w:pPr>
      <w:r w:rsidRPr="00E87ADB">
        <w:rPr>
          <w:rFonts w:ascii="Arial" w:hAnsi="Arial" w:cs="Arial"/>
          <w:sz w:val="22"/>
          <w:szCs w:val="22"/>
        </w:rPr>
        <w:t xml:space="preserve">Montana Tech formally evaluates student services </w:t>
      </w:r>
      <w:r w:rsidR="00D7481B" w:rsidRPr="00E87ADB">
        <w:rPr>
          <w:rFonts w:ascii="Arial" w:hAnsi="Arial" w:cs="Arial"/>
          <w:sz w:val="22"/>
          <w:szCs w:val="22"/>
        </w:rPr>
        <w:t xml:space="preserve">by </w:t>
      </w:r>
      <w:r w:rsidRPr="00E87ADB">
        <w:rPr>
          <w:rFonts w:ascii="Arial" w:hAnsi="Arial" w:cs="Arial"/>
          <w:sz w:val="22"/>
          <w:szCs w:val="22"/>
        </w:rPr>
        <w:t>using surveys and advisory groups.  Program surveys are administered by Residence Life, Counseling, Career</w:t>
      </w:r>
      <w:r w:rsidR="00017F5D">
        <w:rPr>
          <w:rFonts w:ascii="Arial" w:hAnsi="Arial" w:cs="Arial"/>
          <w:sz w:val="22"/>
          <w:szCs w:val="22"/>
        </w:rPr>
        <w:t xml:space="preserve"> Services, Tech Learning Center</w:t>
      </w:r>
      <w:r w:rsidRPr="00E87ADB">
        <w:rPr>
          <w:rFonts w:ascii="Arial" w:hAnsi="Arial" w:cs="Arial"/>
          <w:sz w:val="22"/>
          <w:szCs w:val="22"/>
        </w:rPr>
        <w:t xml:space="preserve">, Dining </w:t>
      </w:r>
      <w:r w:rsidR="006E38F1" w:rsidRPr="00E87ADB">
        <w:rPr>
          <w:rFonts w:ascii="Arial" w:hAnsi="Arial" w:cs="Arial"/>
          <w:sz w:val="22"/>
          <w:szCs w:val="22"/>
        </w:rPr>
        <w:t>S</w:t>
      </w:r>
      <w:r w:rsidRPr="00E87ADB">
        <w:rPr>
          <w:rFonts w:ascii="Arial" w:hAnsi="Arial" w:cs="Arial"/>
          <w:sz w:val="22"/>
          <w:szCs w:val="22"/>
        </w:rPr>
        <w:t xml:space="preserve">ervices, </w:t>
      </w:r>
      <w:r w:rsidR="006E38F1" w:rsidRPr="00E87ADB">
        <w:rPr>
          <w:rFonts w:ascii="Arial" w:hAnsi="Arial" w:cs="Arial"/>
          <w:sz w:val="22"/>
          <w:szCs w:val="22"/>
        </w:rPr>
        <w:t xml:space="preserve">&amp; </w:t>
      </w:r>
      <w:r w:rsidRPr="00E87ADB">
        <w:rPr>
          <w:rFonts w:ascii="Arial" w:hAnsi="Arial" w:cs="Arial"/>
          <w:sz w:val="22"/>
          <w:szCs w:val="22"/>
        </w:rPr>
        <w:t>S</w:t>
      </w:r>
      <w:r w:rsidR="006E38F1" w:rsidRPr="00E87ADB">
        <w:rPr>
          <w:rFonts w:ascii="Arial" w:hAnsi="Arial" w:cs="Arial"/>
          <w:sz w:val="22"/>
          <w:szCs w:val="22"/>
        </w:rPr>
        <w:t>tudent Activities. Surveys are administered at Orientation and Tech Day</w:t>
      </w:r>
      <w:r w:rsidRPr="00E87ADB">
        <w:rPr>
          <w:rFonts w:ascii="Arial" w:hAnsi="Arial" w:cs="Arial"/>
          <w:sz w:val="22"/>
          <w:szCs w:val="22"/>
        </w:rPr>
        <w:t xml:space="preserve"> events. (</w:t>
      </w:r>
      <w:r w:rsidR="00D7481B" w:rsidRPr="00E87ADB">
        <w:rPr>
          <w:rFonts w:ascii="Arial" w:hAnsi="Arial" w:cs="Arial"/>
          <w:sz w:val="22"/>
          <w:szCs w:val="22"/>
        </w:rPr>
        <w:t xml:space="preserve">See </w:t>
      </w:r>
      <w:r w:rsidRPr="00E87ADB">
        <w:rPr>
          <w:rFonts w:ascii="Arial" w:hAnsi="Arial" w:cs="Arial"/>
          <w:sz w:val="22"/>
          <w:szCs w:val="22"/>
        </w:rPr>
        <w:t>Exhibit 3.B.VI</w:t>
      </w:r>
      <w:r w:rsidR="00D7481B" w:rsidRPr="00E87ADB">
        <w:rPr>
          <w:rFonts w:ascii="Arial" w:hAnsi="Arial" w:cs="Arial"/>
          <w:sz w:val="22"/>
          <w:szCs w:val="22"/>
        </w:rPr>
        <w:t>:</w:t>
      </w:r>
      <w:r w:rsidRPr="00E87ADB">
        <w:rPr>
          <w:rFonts w:ascii="Arial" w:hAnsi="Arial" w:cs="Arial"/>
          <w:sz w:val="22"/>
          <w:szCs w:val="22"/>
        </w:rPr>
        <w:t xml:space="preserve"> </w:t>
      </w:r>
      <w:r w:rsidRPr="00E87ADB">
        <w:rPr>
          <w:rFonts w:ascii="Arial" w:hAnsi="Arial" w:cs="Arial"/>
          <w:i/>
          <w:sz w:val="22"/>
          <w:szCs w:val="22"/>
          <w:u w:val="single"/>
        </w:rPr>
        <w:t>Campus Surveys</w:t>
      </w:r>
      <w:r w:rsidR="00AB310E" w:rsidRPr="00E87ADB">
        <w:rPr>
          <w:rFonts w:ascii="Arial" w:hAnsi="Arial" w:cs="Arial"/>
          <w:color w:val="0033CC"/>
          <w:sz w:val="22"/>
          <w:szCs w:val="22"/>
          <w:u w:val="single"/>
        </w:rPr>
        <w:t>.</w:t>
      </w:r>
      <w:r w:rsidRPr="00E87ADB">
        <w:rPr>
          <w:rFonts w:ascii="Arial" w:hAnsi="Arial" w:cs="Arial"/>
          <w:sz w:val="22"/>
          <w:szCs w:val="22"/>
        </w:rPr>
        <w:t>)</w:t>
      </w:r>
    </w:p>
    <w:p w:rsidR="007E57A0" w:rsidRPr="00BC185F" w:rsidRDefault="007E57A0" w:rsidP="001B4D6A">
      <w:pPr>
        <w:pStyle w:val="PlainText"/>
        <w:rPr>
          <w:rFonts w:cs="Arial"/>
          <w:color w:val="0033CC"/>
          <w:sz w:val="22"/>
          <w:szCs w:val="22"/>
        </w:rPr>
      </w:pPr>
    </w:p>
    <w:p w:rsidR="00285332" w:rsidRPr="00C74C86" w:rsidRDefault="007E57A0" w:rsidP="00017F5D">
      <w:pPr>
        <w:rPr>
          <w:rFonts w:ascii="Arial" w:hAnsi="Arial" w:cs="Arial"/>
          <w:b/>
          <w:sz w:val="22"/>
          <w:szCs w:val="22"/>
        </w:rPr>
      </w:pPr>
      <w:r w:rsidRPr="00C74C86">
        <w:rPr>
          <w:rFonts w:ascii="Arial" w:hAnsi="Arial" w:cs="Arial"/>
          <w:sz w:val="22"/>
          <w:szCs w:val="22"/>
        </w:rPr>
        <w:t xml:space="preserve">Montana Tech administers the National Student Satisfaction Inventory (SSI) </w:t>
      </w:r>
      <w:r w:rsidR="00BC185F" w:rsidRPr="00C74C86">
        <w:rPr>
          <w:rFonts w:ascii="Arial" w:hAnsi="Arial" w:cs="Arial"/>
          <w:sz w:val="22"/>
          <w:szCs w:val="22"/>
        </w:rPr>
        <w:t>every other year</w:t>
      </w:r>
      <w:r w:rsidRPr="00C74C86">
        <w:rPr>
          <w:rFonts w:ascii="Arial" w:hAnsi="Arial" w:cs="Arial"/>
          <w:sz w:val="22"/>
          <w:szCs w:val="22"/>
        </w:rPr>
        <w:t xml:space="preserve">. </w:t>
      </w:r>
      <w:r w:rsidR="00D178B5" w:rsidRPr="00C74C86">
        <w:rPr>
          <w:rFonts w:ascii="Arial" w:hAnsi="Arial" w:cs="Arial"/>
          <w:sz w:val="22"/>
          <w:szCs w:val="22"/>
        </w:rPr>
        <w:t>S</w:t>
      </w:r>
      <w:r w:rsidR="00D2064E" w:rsidRPr="00C74C86">
        <w:rPr>
          <w:rFonts w:ascii="Arial" w:hAnsi="Arial" w:cs="Arial"/>
          <w:sz w:val="22"/>
          <w:szCs w:val="22"/>
        </w:rPr>
        <w:t xml:space="preserve">tudent satisfaction composite scale scores </w:t>
      </w:r>
      <w:r w:rsidR="00D178B5" w:rsidRPr="00C74C86">
        <w:rPr>
          <w:rFonts w:ascii="Arial" w:hAnsi="Arial" w:cs="Arial"/>
          <w:sz w:val="22"/>
          <w:szCs w:val="22"/>
        </w:rPr>
        <w:t>have increased</w:t>
      </w:r>
      <w:r w:rsidR="00D2064E" w:rsidRPr="00C74C86">
        <w:rPr>
          <w:rFonts w:ascii="Arial" w:hAnsi="Arial" w:cs="Arial"/>
          <w:sz w:val="22"/>
          <w:szCs w:val="22"/>
        </w:rPr>
        <w:t xml:space="preserve"> since Fall 2001.</w:t>
      </w:r>
      <w:r w:rsidR="00D178B5" w:rsidRPr="00C74C86">
        <w:rPr>
          <w:rFonts w:ascii="Arial" w:hAnsi="Arial" w:cs="Arial"/>
          <w:sz w:val="22"/>
          <w:szCs w:val="22"/>
        </w:rPr>
        <w:t xml:space="preserve"> </w:t>
      </w:r>
      <w:r w:rsidR="00017F5D" w:rsidRPr="00C74C86">
        <w:rPr>
          <w:rFonts w:ascii="Arial" w:hAnsi="Arial" w:cs="Arial"/>
          <w:sz w:val="22"/>
          <w:szCs w:val="22"/>
        </w:rPr>
        <w:t>(</w:t>
      </w:r>
      <w:r w:rsidR="00D178B5" w:rsidRPr="00C74C86">
        <w:rPr>
          <w:rFonts w:ascii="Arial" w:hAnsi="Arial" w:cs="Arial"/>
          <w:sz w:val="22"/>
          <w:szCs w:val="22"/>
        </w:rPr>
        <w:t>See Figures 3.B.4</w:t>
      </w:r>
      <w:r w:rsidR="00017F5D" w:rsidRPr="00C74C86">
        <w:rPr>
          <w:rFonts w:ascii="Arial" w:hAnsi="Arial" w:cs="Arial"/>
          <w:sz w:val="22"/>
          <w:szCs w:val="22"/>
        </w:rPr>
        <w:t>: North Campus Student Satisfaction Composite Scale Scores</w:t>
      </w:r>
      <w:r w:rsidR="00D178B5" w:rsidRPr="00C74C86">
        <w:rPr>
          <w:rFonts w:ascii="Arial" w:hAnsi="Arial" w:cs="Arial"/>
          <w:sz w:val="22"/>
          <w:szCs w:val="22"/>
        </w:rPr>
        <w:t xml:space="preserve"> and Figure 3.B.5</w:t>
      </w:r>
      <w:r w:rsidR="00017F5D" w:rsidRPr="00C74C86">
        <w:rPr>
          <w:rFonts w:ascii="Arial" w:hAnsi="Arial" w:cs="Arial"/>
          <w:sz w:val="22"/>
          <w:szCs w:val="22"/>
        </w:rPr>
        <w:t>:</w:t>
      </w:r>
      <w:r w:rsidR="00D178B5" w:rsidRPr="00C74C86">
        <w:rPr>
          <w:rFonts w:ascii="Arial" w:hAnsi="Arial" w:cs="Arial"/>
          <w:sz w:val="22"/>
          <w:szCs w:val="22"/>
        </w:rPr>
        <w:t xml:space="preserve"> </w:t>
      </w:r>
      <w:r w:rsidR="00017F5D" w:rsidRPr="00C74C86">
        <w:rPr>
          <w:rFonts w:ascii="Arial" w:hAnsi="Arial" w:cs="Arial"/>
          <w:sz w:val="22"/>
          <w:szCs w:val="22"/>
        </w:rPr>
        <w:t>South Campus Student Satisfaction Composite Scale Scores.)</w:t>
      </w:r>
    </w:p>
    <w:p w:rsidR="00176306" w:rsidRDefault="00176306" w:rsidP="001B4D6A">
      <w:pPr>
        <w:pStyle w:val="PlainText"/>
        <w:rPr>
          <w:rFonts w:cs="Arial"/>
          <w:color w:val="auto"/>
          <w:sz w:val="22"/>
          <w:szCs w:val="22"/>
        </w:rPr>
      </w:pPr>
    </w:p>
    <w:p w:rsidR="00176306" w:rsidRDefault="00176306" w:rsidP="001B4D6A">
      <w:pPr>
        <w:pStyle w:val="PlainText"/>
        <w:rPr>
          <w:rFonts w:cs="Arial"/>
          <w:color w:val="auto"/>
          <w:sz w:val="22"/>
          <w:szCs w:val="22"/>
        </w:rPr>
      </w:pPr>
      <w:r w:rsidRPr="00176306">
        <w:rPr>
          <w:rFonts w:cs="Arial"/>
          <w:noProof/>
          <w:color w:val="auto"/>
          <w:sz w:val="22"/>
          <w:szCs w:val="22"/>
        </w:rPr>
        <w:lastRenderedPageBreak/>
        <w:drawing>
          <wp:inline distT="0" distB="0" distL="0" distR="0">
            <wp:extent cx="5486400" cy="5410200"/>
            <wp:effectExtent l="19050" t="0" r="0" b="0"/>
            <wp:docPr id="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5486400" cy="5410200"/>
                    </a:xfrm>
                    <a:prstGeom prst="rect">
                      <a:avLst/>
                    </a:prstGeom>
                    <a:noFill/>
                    <a:ln w="9525">
                      <a:noFill/>
                      <a:miter lim="800000"/>
                      <a:headEnd/>
                      <a:tailEnd/>
                    </a:ln>
                  </pic:spPr>
                </pic:pic>
              </a:graphicData>
            </a:graphic>
          </wp:inline>
        </w:drawing>
      </w:r>
    </w:p>
    <w:p w:rsidR="00176306" w:rsidRDefault="00176306" w:rsidP="001B4D6A">
      <w:pPr>
        <w:pStyle w:val="PlainText"/>
        <w:jc w:val="center"/>
        <w:rPr>
          <w:rFonts w:cs="Arial"/>
          <w:b/>
          <w:color w:val="auto"/>
          <w:sz w:val="22"/>
          <w:szCs w:val="22"/>
        </w:rPr>
      </w:pPr>
    </w:p>
    <w:p w:rsidR="00DF3DC3" w:rsidRDefault="00A3559D" w:rsidP="001B4D6A">
      <w:pPr>
        <w:pStyle w:val="PlainText"/>
        <w:jc w:val="center"/>
        <w:rPr>
          <w:rFonts w:cs="Arial"/>
          <w:b/>
          <w:color w:val="auto"/>
          <w:sz w:val="22"/>
          <w:szCs w:val="22"/>
        </w:rPr>
      </w:pPr>
      <w:r>
        <w:rPr>
          <w:rFonts w:cs="Arial"/>
          <w:b/>
          <w:color w:val="auto"/>
          <w:sz w:val="22"/>
          <w:szCs w:val="22"/>
        </w:rPr>
        <w:t>Figure</w:t>
      </w:r>
      <w:r w:rsidR="007E57A0" w:rsidRPr="00657406">
        <w:rPr>
          <w:rFonts w:cs="Arial"/>
          <w:b/>
          <w:color w:val="auto"/>
          <w:sz w:val="22"/>
          <w:szCs w:val="22"/>
        </w:rPr>
        <w:t xml:space="preserve"> </w:t>
      </w:r>
      <w:r w:rsidR="007D516A">
        <w:rPr>
          <w:rFonts w:cs="Arial"/>
          <w:b/>
          <w:color w:val="auto"/>
          <w:sz w:val="22"/>
          <w:szCs w:val="22"/>
        </w:rPr>
        <w:t>3.B.4</w:t>
      </w:r>
      <w:r w:rsidRPr="00A3559D">
        <w:rPr>
          <w:rFonts w:cs="Arial"/>
          <w:b/>
          <w:color w:val="auto"/>
          <w:sz w:val="22"/>
          <w:szCs w:val="22"/>
        </w:rPr>
        <w:t xml:space="preserve">: </w:t>
      </w:r>
      <w:r w:rsidR="006F3102">
        <w:rPr>
          <w:rFonts w:cs="Arial"/>
          <w:b/>
          <w:color w:val="auto"/>
          <w:sz w:val="22"/>
          <w:szCs w:val="22"/>
        </w:rPr>
        <w:t xml:space="preserve">North </w:t>
      </w:r>
      <w:r w:rsidRPr="00A3559D">
        <w:rPr>
          <w:rFonts w:cs="Arial"/>
          <w:b/>
          <w:color w:val="auto"/>
          <w:sz w:val="22"/>
          <w:szCs w:val="22"/>
        </w:rPr>
        <w:t>Campus Student Satisfaction Composite Scale Scores</w:t>
      </w: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F60CC3" w:rsidRDefault="00176306" w:rsidP="001B4D6A">
      <w:pPr>
        <w:jc w:val="center"/>
        <w:rPr>
          <w:rFonts w:ascii="Arial" w:hAnsi="Arial" w:cs="Arial"/>
          <w:b/>
          <w:sz w:val="22"/>
          <w:szCs w:val="22"/>
        </w:rPr>
      </w:pPr>
      <w:r w:rsidRPr="00176306">
        <w:rPr>
          <w:rFonts w:ascii="Arial" w:hAnsi="Arial" w:cs="Arial"/>
          <w:b/>
          <w:noProof/>
          <w:sz w:val="22"/>
          <w:szCs w:val="22"/>
          <w:lang w:eastAsia="en-US"/>
        </w:rPr>
        <w:lastRenderedPageBreak/>
        <w:drawing>
          <wp:inline distT="0" distB="0" distL="0" distR="0">
            <wp:extent cx="5486400" cy="5120640"/>
            <wp:effectExtent l="19050" t="0" r="0" b="0"/>
            <wp:docPr id="1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srcRect/>
                    <a:stretch>
                      <a:fillRect/>
                    </a:stretch>
                  </pic:blipFill>
                  <pic:spPr bwMode="auto">
                    <a:xfrm>
                      <a:off x="0" y="0"/>
                      <a:ext cx="5486400" cy="5120640"/>
                    </a:xfrm>
                    <a:prstGeom prst="rect">
                      <a:avLst/>
                    </a:prstGeom>
                    <a:noFill/>
                    <a:ln w="9525">
                      <a:noFill/>
                      <a:miter lim="800000"/>
                      <a:headEnd/>
                      <a:tailEnd/>
                    </a:ln>
                  </pic:spPr>
                </pic:pic>
              </a:graphicData>
            </a:graphic>
          </wp:inline>
        </w:drawing>
      </w:r>
    </w:p>
    <w:p w:rsidR="006F3102" w:rsidRDefault="006F3102" w:rsidP="001B4D6A">
      <w:pPr>
        <w:pStyle w:val="PlainText"/>
        <w:jc w:val="center"/>
        <w:rPr>
          <w:rFonts w:cs="Arial"/>
          <w:b/>
          <w:color w:val="auto"/>
          <w:sz w:val="22"/>
          <w:szCs w:val="22"/>
        </w:rPr>
      </w:pPr>
    </w:p>
    <w:p w:rsidR="006F3102" w:rsidRDefault="006F3102" w:rsidP="001B4D6A">
      <w:pPr>
        <w:jc w:val="center"/>
        <w:rPr>
          <w:rFonts w:ascii="Arial" w:hAnsi="Arial" w:cs="Arial"/>
          <w:b/>
          <w:sz w:val="22"/>
          <w:szCs w:val="22"/>
        </w:rPr>
      </w:pPr>
      <w:r>
        <w:rPr>
          <w:rFonts w:ascii="Arial" w:hAnsi="Arial" w:cs="Arial"/>
          <w:b/>
          <w:sz w:val="22"/>
          <w:szCs w:val="22"/>
        </w:rPr>
        <w:t>Figure</w:t>
      </w:r>
      <w:r w:rsidR="007D516A">
        <w:rPr>
          <w:rFonts w:ascii="Arial" w:hAnsi="Arial" w:cs="Arial"/>
          <w:b/>
          <w:sz w:val="22"/>
          <w:szCs w:val="22"/>
        </w:rPr>
        <w:t xml:space="preserve"> 3.B.5</w:t>
      </w:r>
      <w:r>
        <w:rPr>
          <w:rFonts w:ascii="Arial" w:hAnsi="Arial" w:cs="Arial"/>
          <w:b/>
          <w:sz w:val="22"/>
          <w:szCs w:val="22"/>
        </w:rPr>
        <w:t>: South Campus Student Satisfaction Composite Scale Scores</w:t>
      </w:r>
    </w:p>
    <w:p w:rsidR="002B020E" w:rsidRDefault="002B020E" w:rsidP="001B4D6A">
      <w:pPr>
        <w:pStyle w:val="PlainText"/>
        <w:rPr>
          <w:rFonts w:cs="Arial"/>
          <w:color w:val="auto"/>
          <w:sz w:val="22"/>
          <w:szCs w:val="22"/>
        </w:rPr>
      </w:pPr>
    </w:p>
    <w:p w:rsidR="00246F32" w:rsidRPr="00C74C86" w:rsidRDefault="00FE28E5" w:rsidP="001B4D6A">
      <w:pPr>
        <w:pStyle w:val="PlainText"/>
        <w:rPr>
          <w:rFonts w:cs="Arial"/>
          <w:color w:val="auto"/>
          <w:sz w:val="22"/>
          <w:szCs w:val="22"/>
        </w:rPr>
      </w:pPr>
      <w:r w:rsidRPr="00C74C86">
        <w:rPr>
          <w:rFonts w:cs="Arial"/>
          <w:color w:val="auto"/>
          <w:sz w:val="22"/>
          <w:szCs w:val="22"/>
        </w:rPr>
        <w:t>SSI satisfaction survey results</w:t>
      </w:r>
      <w:r w:rsidR="00A0346F" w:rsidRPr="00C74C86">
        <w:rPr>
          <w:rFonts w:cs="Arial"/>
          <w:color w:val="auto"/>
          <w:sz w:val="22"/>
          <w:szCs w:val="22"/>
        </w:rPr>
        <w:t xml:space="preserve"> ha</w:t>
      </w:r>
      <w:r w:rsidRPr="00C74C86">
        <w:rPr>
          <w:rFonts w:cs="Arial"/>
          <w:color w:val="auto"/>
          <w:sz w:val="22"/>
          <w:szCs w:val="22"/>
        </w:rPr>
        <w:t>ve</w:t>
      </w:r>
      <w:r w:rsidR="009916C2" w:rsidRPr="00C74C86">
        <w:rPr>
          <w:rFonts w:cs="Arial"/>
          <w:color w:val="auto"/>
          <w:sz w:val="22"/>
          <w:szCs w:val="22"/>
        </w:rPr>
        <w:t xml:space="preserve"> </w:t>
      </w:r>
      <w:r w:rsidR="00D178B5" w:rsidRPr="00C74C86">
        <w:rPr>
          <w:rFonts w:cs="Arial"/>
          <w:color w:val="auto"/>
          <w:sz w:val="22"/>
          <w:szCs w:val="22"/>
        </w:rPr>
        <w:t xml:space="preserve">driven programmatic changes and </w:t>
      </w:r>
      <w:r w:rsidR="00135239" w:rsidRPr="00C74C86">
        <w:rPr>
          <w:rFonts w:cs="Arial"/>
          <w:color w:val="auto"/>
          <w:sz w:val="22"/>
          <w:szCs w:val="22"/>
        </w:rPr>
        <w:t xml:space="preserve">have </w:t>
      </w:r>
      <w:r w:rsidR="00BF1E36" w:rsidRPr="00C74C86">
        <w:rPr>
          <w:rFonts w:cs="Arial"/>
          <w:color w:val="auto"/>
          <w:sz w:val="22"/>
          <w:szCs w:val="22"/>
        </w:rPr>
        <w:t>consistently improved</w:t>
      </w:r>
      <w:r w:rsidR="00D178B5" w:rsidRPr="00C74C86">
        <w:rPr>
          <w:rFonts w:cs="Arial"/>
          <w:color w:val="auto"/>
          <w:sz w:val="22"/>
          <w:szCs w:val="22"/>
        </w:rPr>
        <w:t>.</w:t>
      </w:r>
      <w:r w:rsidR="009916C2" w:rsidRPr="00C74C86">
        <w:rPr>
          <w:rFonts w:cs="Arial"/>
          <w:color w:val="auto"/>
          <w:sz w:val="22"/>
          <w:szCs w:val="22"/>
        </w:rPr>
        <w:t xml:space="preserve">  To improve student satisfaction and address concerns, s</w:t>
      </w:r>
      <w:r w:rsidR="003C1484" w:rsidRPr="00C74C86">
        <w:rPr>
          <w:rFonts w:cs="Arial"/>
          <w:color w:val="auto"/>
          <w:sz w:val="22"/>
          <w:szCs w:val="22"/>
        </w:rPr>
        <w:t>atisfaction item</w:t>
      </w:r>
      <w:r w:rsidR="00115AF0" w:rsidRPr="00C74C86">
        <w:rPr>
          <w:rFonts w:cs="Arial"/>
          <w:color w:val="auto"/>
          <w:sz w:val="22"/>
          <w:szCs w:val="22"/>
        </w:rPr>
        <w:t xml:space="preserve"> g</w:t>
      </w:r>
      <w:r w:rsidR="00C10285" w:rsidRPr="00C74C86">
        <w:rPr>
          <w:rFonts w:cs="Arial"/>
          <w:color w:val="auto"/>
          <w:sz w:val="22"/>
          <w:szCs w:val="22"/>
        </w:rPr>
        <w:t xml:space="preserve">aps </w:t>
      </w:r>
      <w:r w:rsidR="00115AF0" w:rsidRPr="00C74C86">
        <w:rPr>
          <w:rFonts w:cs="Arial"/>
          <w:color w:val="auto"/>
          <w:sz w:val="22"/>
          <w:szCs w:val="22"/>
        </w:rPr>
        <w:t xml:space="preserve">of </w:t>
      </w:r>
      <w:r w:rsidR="00C10285" w:rsidRPr="00C74C86">
        <w:rPr>
          <w:rFonts w:cs="Arial"/>
          <w:b/>
          <w:color w:val="auto"/>
          <w:sz w:val="22"/>
          <w:szCs w:val="22"/>
        </w:rPr>
        <w:t>one or gr</w:t>
      </w:r>
      <w:r w:rsidR="00A51AE7" w:rsidRPr="00C74C86">
        <w:rPr>
          <w:rFonts w:cs="Arial"/>
          <w:b/>
          <w:color w:val="auto"/>
          <w:sz w:val="22"/>
          <w:szCs w:val="22"/>
        </w:rPr>
        <w:t>e</w:t>
      </w:r>
      <w:r w:rsidR="00C10285" w:rsidRPr="00C74C86">
        <w:rPr>
          <w:rFonts w:cs="Arial"/>
          <w:b/>
          <w:color w:val="auto"/>
          <w:sz w:val="22"/>
          <w:szCs w:val="22"/>
        </w:rPr>
        <w:t>ater</w:t>
      </w:r>
      <w:r w:rsidR="00C10285" w:rsidRPr="00C74C86">
        <w:rPr>
          <w:rFonts w:cs="Arial"/>
          <w:color w:val="auto"/>
          <w:sz w:val="22"/>
          <w:szCs w:val="22"/>
        </w:rPr>
        <w:t xml:space="preserve"> </w:t>
      </w:r>
      <w:r w:rsidR="00A06FB8" w:rsidRPr="00C74C86">
        <w:rPr>
          <w:rFonts w:cs="Arial"/>
          <w:color w:val="auto"/>
          <w:sz w:val="22"/>
          <w:szCs w:val="22"/>
        </w:rPr>
        <w:t>(</w:t>
      </w:r>
      <m:oMath>
        <m:r>
          <w:rPr>
            <w:rFonts w:ascii="Cambria Math" w:hAnsi="Cambria Math" w:cs="Arial"/>
            <w:color w:val="auto"/>
            <w:sz w:val="22"/>
            <w:szCs w:val="22"/>
          </w:rPr>
          <m:t>&gt;</m:t>
        </m:r>
      </m:oMath>
      <w:r w:rsidR="00A06FB8" w:rsidRPr="00C74C86">
        <w:rPr>
          <w:rFonts w:cs="Arial"/>
          <w:color w:val="auto"/>
          <w:sz w:val="22"/>
          <w:szCs w:val="22"/>
        </w:rPr>
        <w:t xml:space="preserve">1) </w:t>
      </w:r>
      <w:r w:rsidR="00C10285" w:rsidRPr="00C74C86">
        <w:rPr>
          <w:rFonts w:cs="Arial"/>
          <w:color w:val="auto"/>
          <w:sz w:val="22"/>
          <w:szCs w:val="22"/>
        </w:rPr>
        <w:t>are</w:t>
      </w:r>
      <w:r w:rsidR="00115AF0" w:rsidRPr="00C74C86">
        <w:rPr>
          <w:rFonts w:cs="Arial"/>
          <w:color w:val="auto"/>
          <w:sz w:val="22"/>
          <w:szCs w:val="22"/>
        </w:rPr>
        <w:t xml:space="preserve"> identified</w:t>
      </w:r>
      <w:r w:rsidR="003216A8" w:rsidRPr="00C74C86">
        <w:rPr>
          <w:rFonts w:cs="Arial"/>
          <w:color w:val="auto"/>
          <w:sz w:val="22"/>
          <w:szCs w:val="22"/>
        </w:rPr>
        <w:t xml:space="preserve"> each assessment </w:t>
      </w:r>
      <w:r w:rsidR="00115AF0" w:rsidRPr="00C74C86">
        <w:rPr>
          <w:rFonts w:cs="Arial"/>
          <w:color w:val="auto"/>
          <w:sz w:val="22"/>
          <w:szCs w:val="22"/>
        </w:rPr>
        <w:t>year</w:t>
      </w:r>
      <w:r w:rsidR="00246F32" w:rsidRPr="00C74C86">
        <w:rPr>
          <w:rFonts w:cs="Arial"/>
          <w:color w:val="auto"/>
          <w:sz w:val="22"/>
          <w:szCs w:val="22"/>
        </w:rPr>
        <w:t>.</w:t>
      </w:r>
      <w:r w:rsidR="00D178B5" w:rsidRPr="00C74C86">
        <w:rPr>
          <w:rFonts w:cs="Arial"/>
          <w:color w:val="auto"/>
          <w:sz w:val="22"/>
          <w:szCs w:val="22"/>
        </w:rPr>
        <w:t xml:space="preserve">  </w:t>
      </w:r>
      <w:r w:rsidR="00246F32" w:rsidRPr="00C74C86">
        <w:rPr>
          <w:rFonts w:cs="Arial"/>
          <w:color w:val="auto"/>
          <w:sz w:val="22"/>
          <w:szCs w:val="22"/>
        </w:rPr>
        <w:t>A performance gap is simply the importance score, minus the satisfaction score. The larger the performance gap, the greater the discrepancy between what students expect and their</w:t>
      </w:r>
      <w:r w:rsidR="00F83D9D" w:rsidRPr="00C74C86">
        <w:rPr>
          <w:rFonts w:cs="Arial"/>
          <w:color w:val="auto"/>
          <w:sz w:val="22"/>
          <w:szCs w:val="22"/>
        </w:rPr>
        <w:t xml:space="preserve"> current</w:t>
      </w:r>
      <w:r w:rsidR="00246F32" w:rsidRPr="00C74C86">
        <w:rPr>
          <w:rFonts w:cs="Arial"/>
          <w:color w:val="auto"/>
          <w:sz w:val="22"/>
          <w:szCs w:val="22"/>
        </w:rPr>
        <w:t xml:space="preserve"> level of satisfaction</w:t>
      </w:r>
      <w:r w:rsidR="00F83D9D" w:rsidRPr="00C74C86">
        <w:rPr>
          <w:rFonts w:cs="Arial"/>
          <w:color w:val="auto"/>
          <w:sz w:val="22"/>
          <w:szCs w:val="22"/>
        </w:rPr>
        <w:t xml:space="preserve">. </w:t>
      </w:r>
      <w:r w:rsidR="00246F32" w:rsidRPr="00C74C86">
        <w:rPr>
          <w:rFonts w:cs="Arial"/>
          <w:color w:val="auto"/>
          <w:sz w:val="22"/>
          <w:szCs w:val="22"/>
        </w:rPr>
        <w:t>T</w:t>
      </w:r>
      <w:r w:rsidR="00F83D9D" w:rsidRPr="00C74C86">
        <w:rPr>
          <w:rFonts w:cs="Arial"/>
          <w:color w:val="auto"/>
          <w:sz w:val="22"/>
          <w:szCs w:val="22"/>
        </w:rPr>
        <w:t>herefore, t</w:t>
      </w:r>
      <w:r w:rsidR="00246F32" w:rsidRPr="00C74C86">
        <w:rPr>
          <w:rFonts w:cs="Arial"/>
          <w:color w:val="auto"/>
          <w:sz w:val="22"/>
          <w:szCs w:val="22"/>
        </w:rPr>
        <w:t>he smaller the performance gap, the be</w:t>
      </w:r>
      <w:r w:rsidR="00F83D9D" w:rsidRPr="00C74C86">
        <w:rPr>
          <w:rFonts w:cs="Arial"/>
          <w:color w:val="auto"/>
          <w:sz w:val="22"/>
          <w:szCs w:val="22"/>
        </w:rPr>
        <w:t>tter the institution is</w:t>
      </w:r>
      <w:r w:rsidR="00246F32" w:rsidRPr="00C74C86">
        <w:rPr>
          <w:rFonts w:cs="Arial"/>
          <w:color w:val="auto"/>
          <w:sz w:val="22"/>
          <w:szCs w:val="22"/>
        </w:rPr>
        <w:t xml:space="preserve"> </w:t>
      </w:r>
      <w:r w:rsidR="00D178B5" w:rsidRPr="00C74C86">
        <w:rPr>
          <w:rFonts w:cs="Arial"/>
          <w:color w:val="auto"/>
          <w:sz w:val="22"/>
          <w:szCs w:val="22"/>
        </w:rPr>
        <w:t xml:space="preserve">at </w:t>
      </w:r>
      <w:r w:rsidR="00246F32" w:rsidRPr="00C74C86">
        <w:rPr>
          <w:rFonts w:cs="Arial"/>
          <w:color w:val="auto"/>
          <w:sz w:val="22"/>
          <w:szCs w:val="22"/>
        </w:rPr>
        <w:t>meeting student expectations.</w:t>
      </w:r>
    </w:p>
    <w:p w:rsidR="00246F32" w:rsidRPr="00C74C86" w:rsidRDefault="00246F32" w:rsidP="001B4D6A">
      <w:pPr>
        <w:pStyle w:val="PlainText"/>
        <w:rPr>
          <w:rFonts w:cs="Arial"/>
          <w:color w:val="auto"/>
          <w:sz w:val="22"/>
          <w:szCs w:val="22"/>
        </w:rPr>
      </w:pPr>
    </w:p>
    <w:p w:rsidR="00A06FB8" w:rsidRPr="00C74C86" w:rsidRDefault="00F83D9D" w:rsidP="001B4D6A">
      <w:pPr>
        <w:pStyle w:val="PlainText"/>
        <w:rPr>
          <w:rFonts w:cs="Arial"/>
          <w:color w:val="auto"/>
          <w:sz w:val="22"/>
          <w:szCs w:val="22"/>
        </w:rPr>
      </w:pPr>
      <w:r w:rsidRPr="00C74C86">
        <w:rPr>
          <w:rFonts w:cs="Arial"/>
          <w:color w:val="auto"/>
          <w:sz w:val="22"/>
          <w:szCs w:val="22"/>
        </w:rPr>
        <w:t>As a follow-up, a</w:t>
      </w:r>
      <w:r w:rsidR="00AC0840" w:rsidRPr="00C74C86">
        <w:rPr>
          <w:rFonts w:cs="Arial"/>
          <w:color w:val="auto"/>
          <w:sz w:val="22"/>
          <w:szCs w:val="22"/>
        </w:rPr>
        <w:t>cademic</w:t>
      </w:r>
      <w:r w:rsidR="00115AF0" w:rsidRPr="00C74C86">
        <w:rPr>
          <w:rFonts w:cs="Arial"/>
          <w:color w:val="auto"/>
          <w:sz w:val="22"/>
          <w:szCs w:val="22"/>
        </w:rPr>
        <w:t xml:space="preserve"> or </w:t>
      </w:r>
      <w:r w:rsidR="00A06FB8" w:rsidRPr="00C74C86">
        <w:rPr>
          <w:rFonts w:cs="Arial"/>
          <w:color w:val="auto"/>
          <w:sz w:val="22"/>
          <w:szCs w:val="22"/>
        </w:rPr>
        <w:t xml:space="preserve">student service </w:t>
      </w:r>
      <w:r w:rsidR="00AC0840" w:rsidRPr="00C74C86">
        <w:rPr>
          <w:rFonts w:cs="Arial"/>
          <w:color w:val="auto"/>
          <w:sz w:val="22"/>
          <w:szCs w:val="22"/>
        </w:rPr>
        <w:t>departments</w:t>
      </w:r>
      <w:r w:rsidR="003216A8" w:rsidRPr="00C74C86">
        <w:rPr>
          <w:rFonts w:cs="Arial"/>
          <w:color w:val="auto"/>
          <w:sz w:val="22"/>
          <w:szCs w:val="22"/>
        </w:rPr>
        <w:t xml:space="preserve"> </w:t>
      </w:r>
      <w:r w:rsidR="00115AF0" w:rsidRPr="00C74C86">
        <w:rPr>
          <w:rFonts w:cs="Arial"/>
          <w:color w:val="auto"/>
          <w:sz w:val="22"/>
          <w:szCs w:val="22"/>
        </w:rPr>
        <w:t xml:space="preserve">most related to the area of concern </w:t>
      </w:r>
      <w:r w:rsidR="003216A8" w:rsidRPr="00C74C86">
        <w:rPr>
          <w:rFonts w:cs="Arial"/>
          <w:color w:val="auto"/>
          <w:sz w:val="22"/>
          <w:szCs w:val="22"/>
        </w:rPr>
        <w:t xml:space="preserve">are </w:t>
      </w:r>
      <w:r w:rsidR="007416B6" w:rsidRPr="00C74C86">
        <w:rPr>
          <w:rFonts w:cs="Arial"/>
          <w:color w:val="auto"/>
          <w:sz w:val="22"/>
          <w:szCs w:val="22"/>
        </w:rPr>
        <w:t xml:space="preserve">charged with </w:t>
      </w:r>
      <w:r w:rsidR="00246F32" w:rsidRPr="00C74C86">
        <w:rPr>
          <w:rFonts w:cs="Arial"/>
          <w:color w:val="auto"/>
          <w:sz w:val="22"/>
          <w:szCs w:val="22"/>
        </w:rPr>
        <w:t>address</w:t>
      </w:r>
      <w:r w:rsidRPr="00C74C86">
        <w:rPr>
          <w:rFonts w:cs="Arial"/>
          <w:color w:val="auto"/>
          <w:sz w:val="22"/>
          <w:szCs w:val="22"/>
        </w:rPr>
        <w:t>ing</w:t>
      </w:r>
      <w:r w:rsidR="00246F32" w:rsidRPr="00C74C86">
        <w:rPr>
          <w:rFonts w:cs="Arial"/>
          <w:color w:val="auto"/>
          <w:sz w:val="22"/>
          <w:szCs w:val="22"/>
        </w:rPr>
        <w:t xml:space="preserve"> the performance gap and </w:t>
      </w:r>
      <w:r w:rsidRPr="00C74C86">
        <w:rPr>
          <w:rFonts w:cs="Arial"/>
          <w:color w:val="auto"/>
          <w:sz w:val="22"/>
          <w:szCs w:val="22"/>
        </w:rPr>
        <w:t>raising</w:t>
      </w:r>
      <w:r w:rsidR="00C10285" w:rsidRPr="00C74C86">
        <w:rPr>
          <w:rFonts w:cs="Arial"/>
          <w:color w:val="auto"/>
          <w:sz w:val="22"/>
          <w:szCs w:val="22"/>
        </w:rPr>
        <w:t xml:space="preserve"> satisfaction </w:t>
      </w:r>
      <w:r w:rsidR="007416B6" w:rsidRPr="00C74C86">
        <w:rPr>
          <w:rFonts w:cs="Arial"/>
          <w:color w:val="auto"/>
          <w:sz w:val="22"/>
          <w:szCs w:val="22"/>
        </w:rPr>
        <w:t>levels.</w:t>
      </w:r>
      <w:r w:rsidR="003C1484" w:rsidRPr="00C74C86">
        <w:rPr>
          <w:rFonts w:cs="Arial"/>
          <w:color w:val="auto"/>
          <w:sz w:val="22"/>
          <w:szCs w:val="22"/>
        </w:rPr>
        <w:t xml:space="preserve"> </w:t>
      </w:r>
    </w:p>
    <w:p w:rsidR="00A06FB8" w:rsidRPr="00C74C86" w:rsidRDefault="00A06FB8" w:rsidP="001B4D6A">
      <w:pPr>
        <w:pStyle w:val="PlainText"/>
        <w:rPr>
          <w:rFonts w:cs="Arial"/>
          <w:color w:val="auto"/>
          <w:sz w:val="22"/>
          <w:szCs w:val="22"/>
        </w:rPr>
      </w:pPr>
    </w:p>
    <w:p w:rsidR="00A0346F" w:rsidRDefault="00F83D9D" w:rsidP="001B4D6A">
      <w:pPr>
        <w:pStyle w:val="PlainText"/>
        <w:rPr>
          <w:rFonts w:cs="Arial"/>
          <w:color w:val="auto"/>
          <w:sz w:val="22"/>
          <w:szCs w:val="22"/>
        </w:rPr>
      </w:pPr>
      <w:r w:rsidRPr="00C74C86">
        <w:rPr>
          <w:rFonts w:cs="Arial"/>
          <w:color w:val="auto"/>
          <w:sz w:val="22"/>
          <w:szCs w:val="22"/>
        </w:rPr>
        <w:t>Figure</w:t>
      </w:r>
      <w:r w:rsidR="00AC0840" w:rsidRPr="00C74C86">
        <w:rPr>
          <w:rFonts w:cs="Arial"/>
          <w:color w:val="auto"/>
          <w:sz w:val="22"/>
          <w:szCs w:val="22"/>
        </w:rPr>
        <w:t xml:space="preserve"> 3.B.</w:t>
      </w:r>
      <w:r w:rsidR="007D516A" w:rsidRPr="00C74C86">
        <w:rPr>
          <w:rFonts w:cs="Arial"/>
          <w:color w:val="auto"/>
          <w:sz w:val="22"/>
          <w:szCs w:val="22"/>
        </w:rPr>
        <w:t>6</w:t>
      </w:r>
      <w:r w:rsidR="0044135E" w:rsidRPr="00C74C86">
        <w:rPr>
          <w:rFonts w:cs="Arial"/>
          <w:color w:val="auto"/>
          <w:sz w:val="22"/>
          <w:szCs w:val="22"/>
        </w:rPr>
        <w:t xml:space="preserve"> depicts</w:t>
      </w:r>
      <w:r w:rsidR="00537BCB" w:rsidRPr="00C74C86">
        <w:rPr>
          <w:rFonts w:cs="Arial"/>
          <w:color w:val="auto"/>
          <w:sz w:val="22"/>
          <w:szCs w:val="22"/>
        </w:rPr>
        <w:t xml:space="preserve"> </w:t>
      </w:r>
      <w:r w:rsidR="00063F6E" w:rsidRPr="00C74C86">
        <w:rPr>
          <w:rFonts w:cs="Arial"/>
          <w:color w:val="auto"/>
          <w:sz w:val="22"/>
          <w:szCs w:val="22"/>
        </w:rPr>
        <w:t>gaps greater than 1 on</w:t>
      </w:r>
      <w:r w:rsidR="00537BCB" w:rsidRPr="00C74C86">
        <w:rPr>
          <w:rFonts w:cs="Arial"/>
          <w:color w:val="auto"/>
          <w:sz w:val="22"/>
          <w:szCs w:val="22"/>
        </w:rPr>
        <w:t xml:space="preserve"> </w:t>
      </w:r>
      <w:r w:rsidR="00063F6E" w:rsidRPr="00C74C86">
        <w:rPr>
          <w:rFonts w:cs="Arial"/>
          <w:color w:val="auto"/>
          <w:sz w:val="22"/>
          <w:szCs w:val="22"/>
        </w:rPr>
        <w:t xml:space="preserve">the SSI since 2001 on </w:t>
      </w:r>
      <w:r w:rsidR="001522DA" w:rsidRPr="00C74C86">
        <w:rPr>
          <w:rFonts w:cs="Arial"/>
          <w:color w:val="auto"/>
          <w:sz w:val="22"/>
          <w:szCs w:val="22"/>
        </w:rPr>
        <w:t>question</w:t>
      </w:r>
      <w:r w:rsidRPr="00C74C86">
        <w:rPr>
          <w:rFonts w:cs="Arial"/>
          <w:color w:val="auto"/>
          <w:sz w:val="22"/>
          <w:szCs w:val="22"/>
        </w:rPr>
        <w:t xml:space="preserve"> 57</w:t>
      </w:r>
      <w:r w:rsidR="00017F5D" w:rsidRPr="00C74C86">
        <w:rPr>
          <w:rFonts w:cs="Arial"/>
          <w:color w:val="auto"/>
          <w:sz w:val="22"/>
          <w:szCs w:val="22"/>
        </w:rPr>
        <w:t xml:space="preserve"> </w:t>
      </w:r>
      <w:r w:rsidR="00AA0358" w:rsidRPr="00C74C86">
        <w:rPr>
          <w:rFonts w:cs="Arial"/>
          <w:color w:val="auto"/>
          <w:sz w:val="22"/>
          <w:szCs w:val="22"/>
        </w:rPr>
        <w:t xml:space="preserve">- </w:t>
      </w:r>
      <w:r w:rsidR="00017F5D" w:rsidRPr="00C74C86">
        <w:rPr>
          <w:rFonts w:cs="Arial"/>
          <w:color w:val="auto"/>
          <w:sz w:val="22"/>
          <w:szCs w:val="22"/>
        </w:rPr>
        <w:t xml:space="preserve">I </w:t>
      </w:r>
      <w:r w:rsidR="00AA0358" w:rsidRPr="00C74C86">
        <w:rPr>
          <w:rFonts w:cs="Arial"/>
          <w:color w:val="auto"/>
          <w:sz w:val="22"/>
          <w:szCs w:val="22"/>
        </w:rPr>
        <w:t>seldom get the “run around” when seeking information on campus</w:t>
      </w:r>
      <w:r w:rsidR="00E93B31" w:rsidRPr="00C74C86">
        <w:rPr>
          <w:rFonts w:cs="Arial"/>
          <w:color w:val="auto"/>
          <w:sz w:val="22"/>
          <w:szCs w:val="22"/>
        </w:rPr>
        <w:t>.</w:t>
      </w:r>
      <w:r w:rsidR="00E93B31" w:rsidRPr="00AA0358">
        <w:rPr>
          <w:rFonts w:cs="Arial"/>
          <w:color w:val="0000FF"/>
          <w:sz w:val="22"/>
          <w:szCs w:val="22"/>
        </w:rPr>
        <w:t xml:space="preserve">  </w:t>
      </w:r>
      <w:r w:rsidR="00E93B31" w:rsidRPr="00C74C86">
        <w:rPr>
          <w:rFonts w:cs="Arial"/>
          <w:color w:val="auto"/>
          <w:sz w:val="22"/>
          <w:szCs w:val="22"/>
        </w:rPr>
        <w:t>This gap was</w:t>
      </w:r>
      <w:r w:rsidR="0044135E" w:rsidRPr="00C74C86">
        <w:rPr>
          <w:rFonts w:cs="Arial"/>
          <w:color w:val="auto"/>
          <w:sz w:val="22"/>
          <w:szCs w:val="22"/>
        </w:rPr>
        <w:t xml:space="preserve"> a contributing</w:t>
      </w:r>
      <w:r w:rsidR="00063F6E" w:rsidRPr="00AB310E">
        <w:rPr>
          <w:rFonts w:cs="Arial"/>
          <w:color w:val="auto"/>
          <w:sz w:val="22"/>
          <w:szCs w:val="22"/>
        </w:rPr>
        <w:t xml:space="preserve"> </w:t>
      </w:r>
      <w:r w:rsidR="0044135E" w:rsidRPr="00AB310E">
        <w:rPr>
          <w:rFonts w:cs="Arial"/>
          <w:color w:val="auto"/>
          <w:sz w:val="22"/>
          <w:szCs w:val="22"/>
        </w:rPr>
        <w:t xml:space="preserve">factor </w:t>
      </w:r>
      <w:r w:rsidR="00C74C86">
        <w:rPr>
          <w:rFonts w:cs="Arial"/>
          <w:color w:val="auto"/>
          <w:sz w:val="22"/>
          <w:szCs w:val="22"/>
        </w:rPr>
        <w:t>to creating the</w:t>
      </w:r>
      <w:r w:rsidRPr="00AB310E">
        <w:rPr>
          <w:rFonts w:cs="Arial"/>
          <w:color w:val="auto"/>
          <w:sz w:val="22"/>
          <w:szCs w:val="22"/>
        </w:rPr>
        <w:t xml:space="preserve"> innovative</w:t>
      </w:r>
      <w:r w:rsidR="00063F6E" w:rsidRPr="00AB310E">
        <w:rPr>
          <w:rFonts w:cs="Arial"/>
          <w:color w:val="auto"/>
          <w:sz w:val="22"/>
          <w:szCs w:val="22"/>
        </w:rPr>
        <w:t xml:space="preserve"> One-Stop-Shop</w:t>
      </w:r>
      <w:r w:rsidRPr="00AB310E">
        <w:rPr>
          <w:rFonts w:cs="Arial"/>
          <w:color w:val="auto"/>
          <w:sz w:val="22"/>
          <w:szCs w:val="22"/>
        </w:rPr>
        <w:t xml:space="preserve"> that combined the Admissions, Registrar, and Financial Aid Offices into one convenient location</w:t>
      </w:r>
      <w:r w:rsidR="003C1484" w:rsidRPr="00AB310E">
        <w:rPr>
          <w:rFonts w:cs="Arial"/>
          <w:color w:val="auto"/>
          <w:sz w:val="22"/>
          <w:szCs w:val="22"/>
        </w:rPr>
        <w:t>.</w:t>
      </w:r>
      <w:r w:rsidR="0044135E">
        <w:rPr>
          <w:rFonts w:cs="Arial"/>
          <w:color w:val="auto"/>
          <w:sz w:val="22"/>
          <w:szCs w:val="22"/>
        </w:rPr>
        <w:t xml:space="preserve"> </w:t>
      </w:r>
    </w:p>
    <w:p w:rsidR="00176306" w:rsidRDefault="00176306" w:rsidP="001B4D6A">
      <w:pPr>
        <w:pStyle w:val="PlainText"/>
        <w:rPr>
          <w:rFonts w:cs="Arial"/>
          <w:color w:val="auto"/>
          <w:sz w:val="22"/>
          <w:szCs w:val="22"/>
        </w:rPr>
      </w:pPr>
    </w:p>
    <w:p w:rsidR="00F76778" w:rsidRDefault="002F52DD" w:rsidP="001B4D6A">
      <w:pPr>
        <w:pStyle w:val="PlainText"/>
        <w:jc w:val="center"/>
        <w:rPr>
          <w:rFonts w:cs="Arial"/>
          <w:b/>
          <w:color w:val="auto"/>
          <w:sz w:val="22"/>
          <w:szCs w:val="22"/>
        </w:rPr>
      </w:pPr>
      <w:r w:rsidRPr="002F52DD">
        <w:rPr>
          <w:noProof/>
          <w:szCs w:val="22"/>
        </w:rPr>
        <w:lastRenderedPageBreak/>
        <w:drawing>
          <wp:inline distT="0" distB="0" distL="0" distR="0">
            <wp:extent cx="4687910" cy="3200400"/>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F83D9D" w:rsidRDefault="00F83D9D" w:rsidP="001B4D6A">
      <w:pPr>
        <w:pStyle w:val="PlainText"/>
        <w:jc w:val="center"/>
        <w:rPr>
          <w:rFonts w:cs="Arial"/>
          <w:color w:val="auto"/>
          <w:sz w:val="22"/>
          <w:szCs w:val="22"/>
        </w:rPr>
      </w:pPr>
    </w:p>
    <w:p w:rsidR="00F83D9D" w:rsidRPr="0044135E" w:rsidRDefault="007D516A" w:rsidP="001B4D6A">
      <w:pPr>
        <w:pStyle w:val="PlainText"/>
        <w:jc w:val="center"/>
        <w:rPr>
          <w:rFonts w:cs="Arial"/>
          <w:b/>
          <w:color w:val="auto"/>
          <w:sz w:val="22"/>
          <w:szCs w:val="22"/>
        </w:rPr>
      </w:pPr>
      <w:r>
        <w:rPr>
          <w:rFonts w:cs="Arial"/>
          <w:b/>
          <w:color w:val="auto"/>
          <w:sz w:val="22"/>
          <w:szCs w:val="22"/>
        </w:rPr>
        <w:t>Figure 3.B.6</w:t>
      </w:r>
      <w:r w:rsidR="00E93B31">
        <w:rPr>
          <w:rFonts w:cs="Arial"/>
          <w:b/>
          <w:color w:val="auto"/>
          <w:sz w:val="22"/>
          <w:szCs w:val="22"/>
        </w:rPr>
        <w:t>: Question 57 Gap Analysis</w:t>
      </w:r>
    </w:p>
    <w:p w:rsidR="00F83D9D" w:rsidRDefault="00F83D9D" w:rsidP="001B4D6A">
      <w:pPr>
        <w:pStyle w:val="PlainText"/>
        <w:jc w:val="center"/>
        <w:rPr>
          <w:rFonts w:cs="Arial"/>
          <w:color w:val="auto"/>
          <w:sz w:val="22"/>
          <w:szCs w:val="22"/>
        </w:rPr>
      </w:pPr>
    </w:p>
    <w:p w:rsidR="00E93B31" w:rsidRDefault="00F07AA5" w:rsidP="001B4D6A">
      <w:pPr>
        <w:pStyle w:val="PlainText"/>
        <w:rPr>
          <w:rFonts w:cs="Arial"/>
          <w:color w:val="auto"/>
          <w:sz w:val="22"/>
          <w:szCs w:val="22"/>
        </w:rPr>
      </w:pPr>
      <w:r>
        <w:rPr>
          <w:rFonts w:cs="Arial"/>
          <w:color w:val="auto"/>
          <w:sz w:val="22"/>
          <w:szCs w:val="22"/>
        </w:rPr>
        <w:t>The student services reorganization</w:t>
      </w:r>
      <w:r w:rsidR="00112075" w:rsidRPr="00CC3732">
        <w:rPr>
          <w:rFonts w:cs="Arial"/>
          <w:color w:val="auto"/>
          <w:sz w:val="22"/>
          <w:szCs w:val="22"/>
        </w:rPr>
        <w:t xml:space="preserve"> was guided by a Strategic Enroll</w:t>
      </w:r>
      <w:r w:rsidR="00B315A2">
        <w:rPr>
          <w:rFonts w:cs="Arial"/>
          <w:color w:val="auto"/>
          <w:sz w:val="22"/>
          <w:szCs w:val="22"/>
        </w:rPr>
        <w:t xml:space="preserve">ment Management Committee which consisted of </w:t>
      </w:r>
      <w:r w:rsidR="00112075" w:rsidRPr="00CC3732">
        <w:rPr>
          <w:rFonts w:cs="Arial"/>
          <w:color w:val="auto"/>
          <w:sz w:val="22"/>
          <w:szCs w:val="22"/>
        </w:rPr>
        <w:t>Montana Tech</w:t>
      </w:r>
      <w:r w:rsidR="00125371">
        <w:rPr>
          <w:rFonts w:cs="Arial"/>
          <w:color w:val="auto"/>
          <w:sz w:val="22"/>
          <w:szCs w:val="22"/>
        </w:rPr>
        <w:t>’s</w:t>
      </w:r>
      <w:r w:rsidR="00AA0358">
        <w:rPr>
          <w:rFonts w:cs="Arial"/>
          <w:color w:val="auto"/>
          <w:sz w:val="22"/>
          <w:szCs w:val="22"/>
        </w:rPr>
        <w:t xml:space="preserve"> faculty, staff, and student</w:t>
      </w:r>
      <w:r w:rsidR="00AA0358" w:rsidRPr="00AA0358">
        <w:rPr>
          <w:rFonts w:cs="Arial"/>
          <w:color w:val="auto"/>
          <w:sz w:val="22"/>
          <w:szCs w:val="22"/>
        </w:rPr>
        <w:t xml:space="preserve"> </w:t>
      </w:r>
      <w:r w:rsidR="00AA0358">
        <w:rPr>
          <w:rFonts w:cs="Arial"/>
          <w:color w:val="auto"/>
          <w:sz w:val="22"/>
          <w:szCs w:val="22"/>
        </w:rPr>
        <w:t>representatives</w:t>
      </w:r>
      <w:r w:rsidR="00112075" w:rsidRPr="00CC3732">
        <w:rPr>
          <w:rFonts w:cs="Arial"/>
          <w:color w:val="auto"/>
          <w:sz w:val="22"/>
          <w:szCs w:val="22"/>
        </w:rPr>
        <w:t>.</w:t>
      </w:r>
    </w:p>
    <w:p w:rsidR="003F4A11" w:rsidRDefault="003F4A11" w:rsidP="001B4D6A">
      <w:pPr>
        <w:rPr>
          <w:rFonts w:ascii="Arial" w:hAnsi="Arial" w:cs="Arial"/>
          <w:color w:val="1F497D"/>
        </w:rPr>
      </w:pPr>
    </w:p>
    <w:p w:rsidR="003F4A11" w:rsidRPr="00C74C86" w:rsidRDefault="003F4A11" w:rsidP="001B4D6A">
      <w:pPr>
        <w:rPr>
          <w:rFonts w:ascii="Arial" w:hAnsi="Arial" w:cs="Arial"/>
          <w:sz w:val="22"/>
          <w:szCs w:val="22"/>
        </w:rPr>
      </w:pPr>
      <w:r w:rsidRPr="00C74C86">
        <w:rPr>
          <w:rFonts w:ascii="Arial" w:hAnsi="Arial" w:cs="Arial"/>
          <w:sz w:val="22"/>
          <w:szCs w:val="22"/>
        </w:rPr>
        <w:t>Enrollm</w:t>
      </w:r>
      <w:r w:rsidR="00D178B5" w:rsidRPr="00C74C86">
        <w:rPr>
          <w:rFonts w:ascii="Arial" w:hAnsi="Arial" w:cs="Arial"/>
          <w:sz w:val="22"/>
          <w:szCs w:val="22"/>
        </w:rPr>
        <w:t>ent Services (housed in the One-Stop-</w:t>
      </w:r>
      <w:r w:rsidRPr="00C74C86">
        <w:rPr>
          <w:rFonts w:ascii="Arial" w:hAnsi="Arial" w:cs="Arial"/>
          <w:sz w:val="22"/>
          <w:szCs w:val="22"/>
        </w:rPr>
        <w:t>Shop) and Enrollment Processing (located in the same bu</w:t>
      </w:r>
      <w:r w:rsidR="006C4BC8" w:rsidRPr="00C74C86">
        <w:rPr>
          <w:rFonts w:ascii="Arial" w:hAnsi="Arial" w:cs="Arial"/>
          <w:sz w:val="22"/>
          <w:szCs w:val="22"/>
        </w:rPr>
        <w:t>ilding</w:t>
      </w:r>
      <w:r w:rsidRPr="00C74C86">
        <w:rPr>
          <w:rFonts w:ascii="Arial" w:hAnsi="Arial" w:cs="Arial"/>
          <w:sz w:val="22"/>
          <w:szCs w:val="22"/>
        </w:rPr>
        <w:t>) are the centerpiece of the reorganization.  There are three principles which are repeatedly applied in these departments:  Training, Customer Service, and Communication.</w:t>
      </w:r>
    </w:p>
    <w:p w:rsidR="003F4A11" w:rsidRPr="00C74C86" w:rsidRDefault="003F4A11" w:rsidP="001B4D6A">
      <w:pPr>
        <w:rPr>
          <w:rFonts w:asciiTheme="minorHAnsi" w:hAnsiTheme="minorHAnsi" w:cstheme="minorBidi"/>
          <w:sz w:val="22"/>
          <w:szCs w:val="22"/>
        </w:rPr>
      </w:pPr>
    </w:p>
    <w:p w:rsidR="003F4A11" w:rsidRPr="00C74C86" w:rsidRDefault="003F4A11" w:rsidP="001B4D6A">
      <w:pPr>
        <w:rPr>
          <w:rFonts w:ascii="Arial" w:hAnsi="Arial" w:cs="Arial"/>
          <w:sz w:val="22"/>
          <w:szCs w:val="22"/>
        </w:rPr>
      </w:pPr>
      <w:r w:rsidRPr="00C74C86">
        <w:rPr>
          <w:rFonts w:ascii="Arial" w:hAnsi="Arial" w:cs="Arial"/>
          <w:sz w:val="22"/>
          <w:szCs w:val="22"/>
        </w:rPr>
        <w:t>Training</w:t>
      </w:r>
      <w:r w:rsidR="006C4BC8" w:rsidRPr="00C74C86">
        <w:rPr>
          <w:rFonts w:ascii="Arial" w:hAnsi="Arial" w:cs="Arial"/>
          <w:sz w:val="22"/>
          <w:szCs w:val="22"/>
        </w:rPr>
        <w:t xml:space="preserve"> includes cross-training</w:t>
      </w:r>
      <w:r w:rsidRPr="00C74C86">
        <w:rPr>
          <w:rFonts w:ascii="Arial" w:hAnsi="Arial" w:cs="Arial"/>
          <w:sz w:val="22"/>
          <w:szCs w:val="22"/>
        </w:rPr>
        <w:t xml:space="preserve"> staff.  There is no process that cannot be completed if a </w:t>
      </w:r>
      <w:r w:rsidR="00886F52" w:rsidRPr="00C74C86">
        <w:rPr>
          <w:rFonts w:ascii="Arial" w:hAnsi="Arial" w:cs="Arial"/>
          <w:sz w:val="22"/>
          <w:szCs w:val="22"/>
        </w:rPr>
        <w:t>staff member</w:t>
      </w:r>
      <w:r w:rsidRPr="00C74C86">
        <w:rPr>
          <w:rFonts w:ascii="Arial" w:hAnsi="Arial" w:cs="Arial"/>
          <w:sz w:val="22"/>
          <w:szCs w:val="22"/>
        </w:rPr>
        <w:t xml:space="preserve"> is sick or on vacation. Consequently, most services can be provided at the point of consumer (generally student) readiness.  There is a commitment in these offices that all staff </w:t>
      </w:r>
      <w:r w:rsidR="00886F52" w:rsidRPr="00C74C86">
        <w:rPr>
          <w:rFonts w:ascii="Arial" w:hAnsi="Arial" w:cs="Arial"/>
          <w:sz w:val="22"/>
          <w:szCs w:val="22"/>
        </w:rPr>
        <w:t>completes</w:t>
      </w:r>
      <w:r w:rsidRPr="00C74C86">
        <w:rPr>
          <w:rFonts w:ascii="Arial" w:hAnsi="Arial" w:cs="Arial"/>
          <w:sz w:val="22"/>
          <w:szCs w:val="22"/>
        </w:rPr>
        <w:t xml:space="preserve"> </w:t>
      </w:r>
      <w:r w:rsidR="006C4BC8" w:rsidRPr="00C74C86">
        <w:rPr>
          <w:rFonts w:ascii="Arial" w:hAnsi="Arial" w:cs="Arial"/>
          <w:sz w:val="22"/>
          <w:szCs w:val="22"/>
        </w:rPr>
        <w:t>at least four</w:t>
      </w:r>
      <w:r w:rsidRPr="00C74C86">
        <w:rPr>
          <w:rFonts w:ascii="Arial" w:hAnsi="Arial" w:cs="Arial"/>
          <w:sz w:val="22"/>
          <w:szCs w:val="22"/>
        </w:rPr>
        <w:t xml:space="preserve"> hours of training every month.  This helps to keep sta</w:t>
      </w:r>
      <w:r w:rsidR="006C4BC8" w:rsidRPr="00C74C86">
        <w:rPr>
          <w:rFonts w:ascii="Arial" w:hAnsi="Arial" w:cs="Arial"/>
          <w:sz w:val="22"/>
          <w:szCs w:val="22"/>
        </w:rPr>
        <w:t xml:space="preserve">ff aware of new developments specific to their job responsibilities </w:t>
      </w:r>
      <w:r w:rsidRPr="00C74C86">
        <w:rPr>
          <w:rFonts w:ascii="Arial" w:hAnsi="Arial" w:cs="Arial"/>
          <w:sz w:val="22"/>
          <w:szCs w:val="22"/>
        </w:rPr>
        <w:t xml:space="preserve">as well as generally informed as to the happenings and developments in other areas.  There is an element of training that involves </w:t>
      </w:r>
      <w:r w:rsidR="006C4BC8" w:rsidRPr="00C74C86">
        <w:rPr>
          <w:rFonts w:ascii="Arial" w:hAnsi="Arial" w:cs="Arial"/>
          <w:sz w:val="22"/>
          <w:szCs w:val="22"/>
        </w:rPr>
        <w:t>training students</w:t>
      </w:r>
      <w:r w:rsidRPr="00C74C86">
        <w:rPr>
          <w:rFonts w:ascii="Arial" w:hAnsi="Arial" w:cs="Arial"/>
          <w:sz w:val="22"/>
          <w:szCs w:val="22"/>
        </w:rPr>
        <w:t xml:space="preserve"> to help themselves</w:t>
      </w:r>
      <w:r w:rsidR="00AA0358" w:rsidRPr="00C74C86">
        <w:rPr>
          <w:rFonts w:ascii="Arial" w:hAnsi="Arial" w:cs="Arial"/>
          <w:sz w:val="22"/>
          <w:szCs w:val="22"/>
        </w:rPr>
        <w:t>.  From the k</w:t>
      </w:r>
      <w:r w:rsidR="00886F52" w:rsidRPr="00C74C86">
        <w:rPr>
          <w:rFonts w:ascii="Arial" w:hAnsi="Arial" w:cs="Arial"/>
          <w:sz w:val="22"/>
          <w:szCs w:val="22"/>
        </w:rPr>
        <w:t>iosk in the One-Stop-</w:t>
      </w:r>
      <w:r w:rsidRPr="00C74C86">
        <w:rPr>
          <w:rFonts w:ascii="Arial" w:hAnsi="Arial" w:cs="Arial"/>
          <w:sz w:val="22"/>
          <w:szCs w:val="22"/>
        </w:rPr>
        <w:t>Shop to the newly designed “registration process” website, Tech is comm</w:t>
      </w:r>
      <w:r w:rsidR="001522DA" w:rsidRPr="00C74C86">
        <w:rPr>
          <w:rFonts w:ascii="Arial" w:hAnsi="Arial" w:cs="Arial"/>
          <w:sz w:val="22"/>
          <w:szCs w:val="22"/>
        </w:rPr>
        <w:t>itted to helping the students</w:t>
      </w:r>
      <w:r w:rsidRPr="00C74C86">
        <w:rPr>
          <w:rFonts w:ascii="Arial" w:hAnsi="Arial" w:cs="Arial"/>
          <w:sz w:val="22"/>
          <w:szCs w:val="22"/>
        </w:rPr>
        <w:t xml:space="preserve"> help themselves.</w:t>
      </w:r>
    </w:p>
    <w:p w:rsidR="003F4A11" w:rsidRPr="00C74C86" w:rsidRDefault="003F4A11" w:rsidP="001B4D6A">
      <w:pPr>
        <w:rPr>
          <w:rFonts w:asciiTheme="minorHAnsi" w:hAnsiTheme="minorHAnsi" w:cstheme="minorBidi"/>
          <w:sz w:val="22"/>
          <w:szCs w:val="22"/>
        </w:rPr>
      </w:pPr>
    </w:p>
    <w:p w:rsidR="003F4A11" w:rsidRPr="00C74C86" w:rsidRDefault="003F4A11" w:rsidP="001B4D6A">
      <w:pPr>
        <w:rPr>
          <w:rFonts w:ascii="Arial" w:hAnsi="Arial" w:cs="Arial"/>
          <w:sz w:val="22"/>
          <w:szCs w:val="22"/>
        </w:rPr>
      </w:pPr>
      <w:r w:rsidRPr="00C74C86">
        <w:rPr>
          <w:rFonts w:ascii="Arial" w:hAnsi="Arial" w:cs="Arial"/>
          <w:sz w:val="22"/>
          <w:szCs w:val="22"/>
        </w:rPr>
        <w:t xml:space="preserve">The Customer Service goal is </w:t>
      </w:r>
      <w:r w:rsidR="006C4BC8" w:rsidRPr="00C74C86">
        <w:rPr>
          <w:rFonts w:ascii="Arial" w:hAnsi="Arial" w:cs="Arial"/>
          <w:sz w:val="22"/>
          <w:szCs w:val="22"/>
        </w:rPr>
        <w:t xml:space="preserve">to </w:t>
      </w:r>
      <w:r w:rsidRPr="00C74C86">
        <w:rPr>
          <w:rFonts w:ascii="Arial" w:hAnsi="Arial" w:cs="Arial"/>
          <w:sz w:val="22"/>
          <w:szCs w:val="22"/>
        </w:rPr>
        <w:t>provide the best service by creating a culture tha</w:t>
      </w:r>
      <w:r w:rsidR="00B15F17" w:rsidRPr="00C74C86">
        <w:rPr>
          <w:rFonts w:ascii="Arial" w:hAnsi="Arial" w:cs="Arial"/>
          <w:sz w:val="22"/>
          <w:szCs w:val="22"/>
        </w:rPr>
        <w:t>t supports going the extra st</w:t>
      </w:r>
      <w:r w:rsidR="00AA0358" w:rsidRPr="00C74C86">
        <w:rPr>
          <w:rFonts w:ascii="Arial" w:hAnsi="Arial" w:cs="Arial"/>
          <w:sz w:val="22"/>
          <w:szCs w:val="22"/>
        </w:rPr>
        <w:t>ep: in other words, reducing</w:t>
      </w:r>
      <w:r w:rsidR="00B15F17" w:rsidRPr="00C74C86">
        <w:rPr>
          <w:rFonts w:ascii="Arial" w:hAnsi="Arial" w:cs="Arial"/>
          <w:sz w:val="22"/>
          <w:szCs w:val="22"/>
        </w:rPr>
        <w:t xml:space="preserve"> student runaround.</w:t>
      </w:r>
      <w:r w:rsidRPr="00C74C86">
        <w:rPr>
          <w:rFonts w:ascii="Arial" w:hAnsi="Arial" w:cs="Arial"/>
          <w:sz w:val="22"/>
          <w:szCs w:val="22"/>
        </w:rPr>
        <w:t xml:space="preserve">  Directors and Assistant Directors often work one-on-one with students and staff to problem solve or answer the phone.  Second, </w:t>
      </w:r>
      <w:r w:rsidR="00B15F17" w:rsidRPr="00C74C86">
        <w:rPr>
          <w:rFonts w:ascii="Arial" w:hAnsi="Arial" w:cs="Arial"/>
          <w:sz w:val="22"/>
          <w:szCs w:val="22"/>
        </w:rPr>
        <w:t>enrollment services</w:t>
      </w:r>
      <w:r w:rsidR="00AA0358" w:rsidRPr="00C74C86">
        <w:rPr>
          <w:rFonts w:ascii="Arial" w:hAnsi="Arial" w:cs="Arial"/>
          <w:sz w:val="22"/>
          <w:szCs w:val="22"/>
        </w:rPr>
        <w:t>’</w:t>
      </w:r>
      <w:r w:rsidR="00B15F17" w:rsidRPr="00C74C86">
        <w:rPr>
          <w:rFonts w:ascii="Arial" w:hAnsi="Arial" w:cs="Arial"/>
          <w:sz w:val="22"/>
          <w:szCs w:val="22"/>
        </w:rPr>
        <w:t xml:space="preserve"> job descriptions and training enable staff to access double the information students would normally receive from any one person</w:t>
      </w:r>
      <w:r w:rsidR="00AA0358" w:rsidRPr="00C74C86">
        <w:rPr>
          <w:rFonts w:ascii="Arial" w:hAnsi="Arial" w:cs="Arial"/>
          <w:sz w:val="22"/>
          <w:szCs w:val="22"/>
        </w:rPr>
        <w:t>.  For example, the Enrollment S</w:t>
      </w:r>
      <w:r w:rsidRPr="00C74C86">
        <w:rPr>
          <w:rFonts w:ascii="Arial" w:hAnsi="Arial" w:cs="Arial"/>
          <w:sz w:val="22"/>
          <w:szCs w:val="22"/>
        </w:rPr>
        <w:t>ervices staff members are trai</w:t>
      </w:r>
      <w:r w:rsidR="00F34FD4" w:rsidRPr="00C74C86">
        <w:rPr>
          <w:rFonts w:ascii="Arial" w:hAnsi="Arial" w:cs="Arial"/>
          <w:sz w:val="22"/>
          <w:szCs w:val="22"/>
        </w:rPr>
        <w:t xml:space="preserve">ned on more than 35 </w:t>
      </w:r>
      <w:r w:rsidR="00FE35BB" w:rsidRPr="00C74C86">
        <w:rPr>
          <w:rFonts w:ascii="Arial" w:hAnsi="Arial" w:cs="Arial"/>
          <w:sz w:val="22"/>
          <w:szCs w:val="22"/>
        </w:rPr>
        <w:t>forms</w:t>
      </w:r>
      <w:r w:rsidR="00F34FD4" w:rsidRPr="00C74C86">
        <w:rPr>
          <w:rFonts w:ascii="Arial" w:hAnsi="Arial" w:cs="Arial"/>
          <w:sz w:val="22"/>
          <w:szCs w:val="22"/>
        </w:rPr>
        <w:t xml:space="preserve"> in B</w:t>
      </w:r>
      <w:r w:rsidRPr="00C74C86">
        <w:rPr>
          <w:rFonts w:ascii="Arial" w:hAnsi="Arial" w:cs="Arial"/>
          <w:sz w:val="22"/>
          <w:szCs w:val="22"/>
        </w:rPr>
        <w:t xml:space="preserve">anner (a typical admissions, financial aid or registrar employee would know 10-17 </w:t>
      </w:r>
      <w:r w:rsidR="00FE35BB" w:rsidRPr="00C74C86">
        <w:rPr>
          <w:rFonts w:ascii="Arial" w:hAnsi="Arial" w:cs="Arial"/>
          <w:sz w:val="22"/>
          <w:szCs w:val="22"/>
        </w:rPr>
        <w:t>form</w:t>
      </w:r>
      <w:r w:rsidR="00AA0358" w:rsidRPr="00C74C86">
        <w:rPr>
          <w:rFonts w:ascii="Arial" w:hAnsi="Arial" w:cs="Arial"/>
          <w:sz w:val="22"/>
          <w:szCs w:val="22"/>
        </w:rPr>
        <w:t>s).  This means that the Enrollment S</w:t>
      </w:r>
      <w:r w:rsidRPr="00C74C86">
        <w:rPr>
          <w:rFonts w:ascii="Arial" w:hAnsi="Arial" w:cs="Arial"/>
          <w:sz w:val="22"/>
          <w:szCs w:val="22"/>
        </w:rPr>
        <w:t>ervices staff</w:t>
      </w:r>
      <w:r w:rsidR="00F34FD4" w:rsidRPr="00C74C86">
        <w:rPr>
          <w:rFonts w:ascii="Arial" w:hAnsi="Arial" w:cs="Arial"/>
          <w:sz w:val="22"/>
          <w:szCs w:val="22"/>
        </w:rPr>
        <w:t xml:space="preserve"> members</w:t>
      </w:r>
      <w:r w:rsidRPr="00C74C86">
        <w:rPr>
          <w:rFonts w:ascii="Arial" w:hAnsi="Arial" w:cs="Arial"/>
          <w:sz w:val="22"/>
          <w:szCs w:val="22"/>
        </w:rPr>
        <w:t xml:space="preserve"> </w:t>
      </w:r>
      <w:r w:rsidR="00F34FD4" w:rsidRPr="00C74C86">
        <w:rPr>
          <w:rFonts w:ascii="Arial" w:hAnsi="Arial" w:cs="Arial"/>
          <w:sz w:val="22"/>
          <w:szCs w:val="22"/>
        </w:rPr>
        <w:t>have a more holistic view of the students’ relationship with the school.  Therefore the focus shifts to assisting the student in achieving their enrollment goals instead of completing an office function</w:t>
      </w:r>
      <w:r w:rsidRPr="00C74C86">
        <w:rPr>
          <w:rFonts w:ascii="Arial" w:hAnsi="Arial" w:cs="Arial"/>
          <w:sz w:val="22"/>
          <w:szCs w:val="22"/>
        </w:rPr>
        <w:t xml:space="preserve">.  A fundamental element of the restructure is that students can get </w:t>
      </w:r>
      <w:r w:rsidRPr="00C74C86">
        <w:rPr>
          <w:rFonts w:ascii="Arial" w:hAnsi="Arial" w:cs="Arial"/>
          <w:sz w:val="22"/>
          <w:szCs w:val="22"/>
        </w:rPr>
        <w:lastRenderedPageBreak/>
        <w:t>all (or at least 80%) of their questions answered in one place; thus eliminating the run around.  This concept is applied to t</w:t>
      </w:r>
      <w:r w:rsidR="00886F52" w:rsidRPr="00C74C86">
        <w:rPr>
          <w:rFonts w:ascii="Arial" w:hAnsi="Arial" w:cs="Arial"/>
          <w:sz w:val="22"/>
          <w:szCs w:val="22"/>
        </w:rPr>
        <w:t>he physical location of the one-stop-</w:t>
      </w:r>
      <w:r w:rsidRPr="00C74C86">
        <w:rPr>
          <w:rFonts w:ascii="Arial" w:hAnsi="Arial" w:cs="Arial"/>
          <w:sz w:val="22"/>
          <w:szCs w:val="22"/>
        </w:rPr>
        <w:t>shop as well as the virtual location of the Montana Tech website.</w:t>
      </w:r>
    </w:p>
    <w:p w:rsidR="003F4A11" w:rsidRPr="00C74C86" w:rsidRDefault="003F4A11" w:rsidP="001B4D6A">
      <w:pPr>
        <w:rPr>
          <w:rFonts w:asciiTheme="minorHAnsi" w:hAnsiTheme="minorHAnsi" w:cstheme="minorBidi"/>
          <w:sz w:val="22"/>
          <w:szCs w:val="22"/>
        </w:rPr>
      </w:pPr>
    </w:p>
    <w:p w:rsidR="003F4A11" w:rsidRPr="00C74C86" w:rsidRDefault="003F4A11" w:rsidP="001B4D6A">
      <w:pPr>
        <w:rPr>
          <w:rFonts w:ascii="Arial" w:hAnsi="Arial" w:cs="Arial"/>
          <w:sz w:val="22"/>
          <w:szCs w:val="22"/>
        </w:rPr>
      </w:pPr>
      <w:r w:rsidRPr="00C74C86">
        <w:rPr>
          <w:rFonts w:ascii="Arial" w:hAnsi="Arial" w:cs="Arial"/>
          <w:sz w:val="22"/>
          <w:szCs w:val="22"/>
        </w:rPr>
        <w:t xml:space="preserve">Communication is an ongoing process.  Information sent to students is screened for accuracy and consistency.  Methods are put in place for the customers to provide feedback.  Two examples: first is the process of implementing a new communication plan to new </w:t>
      </w:r>
      <w:r w:rsidR="00F34FD4" w:rsidRPr="00C74C86">
        <w:rPr>
          <w:rFonts w:ascii="Arial" w:hAnsi="Arial" w:cs="Arial"/>
          <w:sz w:val="22"/>
          <w:szCs w:val="22"/>
        </w:rPr>
        <w:t xml:space="preserve">admissions </w:t>
      </w:r>
      <w:r w:rsidRPr="00C74C86">
        <w:rPr>
          <w:rFonts w:ascii="Arial" w:hAnsi="Arial" w:cs="Arial"/>
          <w:sz w:val="22"/>
          <w:szCs w:val="22"/>
        </w:rPr>
        <w:t>applicants.  Instead of receiving several commun</w:t>
      </w:r>
      <w:r w:rsidR="00AA0358" w:rsidRPr="00C74C86">
        <w:rPr>
          <w:rFonts w:ascii="Arial" w:hAnsi="Arial" w:cs="Arial"/>
          <w:sz w:val="22"/>
          <w:szCs w:val="22"/>
        </w:rPr>
        <w:t>ications about financial aid,</w:t>
      </w:r>
      <w:r w:rsidRPr="00C74C86">
        <w:rPr>
          <w:rFonts w:ascii="Arial" w:hAnsi="Arial" w:cs="Arial"/>
          <w:sz w:val="22"/>
          <w:szCs w:val="22"/>
        </w:rPr>
        <w:t xml:space="preserve"> admission, or fee p</w:t>
      </w:r>
      <w:r w:rsidR="00AA0358" w:rsidRPr="00C74C86">
        <w:rPr>
          <w:rFonts w:ascii="Arial" w:hAnsi="Arial" w:cs="Arial"/>
          <w:sz w:val="22"/>
          <w:szCs w:val="22"/>
        </w:rPr>
        <w:t>ayment,</w:t>
      </w:r>
      <w:r w:rsidR="00F34FD4" w:rsidRPr="00C74C86">
        <w:rPr>
          <w:rFonts w:ascii="Arial" w:hAnsi="Arial" w:cs="Arial"/>
          <w:sz w:val="22"/>
          <w:szCs w:val="22"/>
        </w:rPr>
        <w:t xml:space="preserve"> students will receive </w:t>
      </w:r>
      <w:r w:rsidRPr="00C74C86">
        <w:rPr>
          <w:rFonts w:ascii="Arial" w:hAnsi="Arial" w:cs="Arial"/>
          <w:sz w:val="22"/>
          <w:szCs w:val="22"/>
        </w:rPr>
        <w:t xml:space="preserve">directions as to how to access their file online.  Then students will receive key notifications reminding them to check or update their online file.  Secondly, an article </w:t>
      </w:r>
      <w:r w:rsidR="00135239" w:rsidRPr="00C74C86">
        <w:rPr>
          <w:rFonts w:ascii="Arial" w:hAnsi="Arial" w:cs="Arial"/>
          <w:sz w:val="22"/>
          <w:szCs w:val="22"/>
        </w:rPr>
        <w:t>was written in the student newspaper about the One-Stop-</w:t>
      </w:r>
      <w:r w:rsidRPr="00C74C86">
        <w:rPr>
          <w:rFonts w:ascii="Arial" w:hAnsi="Arial" w:cs="Arial"/>
          <w:sz w:val="22"/>
          <w:szCs w:val="22"/>
        </w:rPr>
        <w:t>Shop.  The writer interviewed students about their experiences.  The students noted that it was hard to tell which enrollment specialist to vi</w:t>
      </w:r>
      <w:r w:rsidR="00135239" w:rsidRPr="00C74C86">
        <w:rPr>
          <w:rFonts w:ascii="Arial" w:hAnsi="Arial" w:cs="Arial"/>
          <w:sz w:val="22"/>
          <w:szCs w:val="22"/>
        </w:rPr>
        <w:t>sit when they walked in</w:t>
      </w:r>
      <w:r w:rsidR="00AA0358" w:rsidRPr="00C74C86">
        <w:rPr>
          <w:rFonts w:ascii="Arial" w:hAnsi="Arial" w:cs="Arial"/>
          <w:sz w:val="22"/>
          <w:szCs w:val="22"/>
        </w:rPr>
        <w:t>to</w:t>
      </w:r>
      <w:r w:rsidR="00135239" w:rsidRPr="00C74C86">
        <w:rPr>
          <w:rFonts w:ascii="Arial" w:hAnsi="Arial" w:cs="Arial"/>
          <w:sz w:val="22"/>
          <w:szCs w:val="22"/>
        </w:rPr>
        <w:t xml:space="preserve"> the One-Stop-</w:t>
      </w:r>
      <w:r w:rsidRPr="00C74C86">
        <w:rPr>
          <w:rFonts w:ascii="Arial" w:hAnsi="Arial" w:cs="Arial"/>
          <w:sz w:val="22"/>
          <w:szCs w:val="22"/>
        </w:rPr>
        <w:t>Shop.  Consequently, a signage system was implemented to address this issue.</w:t>
      </w:r>
    </w:p>
    <w:p w:rsidR="00E93B31" w:rsidRPr="00C74C86" w:rsidRDefault="00E93B31" w:rsidP="001B4D6A">
      <w:pPr>
        <w:pStyle w:val="PlainText"/>
        <w:rPr>
          <w:rFonts w:cs="Arial"/>
          <w:color w:val="auto"/>
          <w:sz w:val="22"/>
          <w:szCs w:val="22"/>
        </w:rPr>
      </w:pPr>
    </w:p>
    <w:p w:rsidR="00376722" w:rsidRPr="00376722" w:rsidRDefault="00B315A2" w:rsidP="001B4D6A">
      <w:pPr>
        <w:pStyle w:val="PlainText"/>
        <w:rPr>
          <w:rFonts w:cs="Arial"/>
          <w:color w:val="0033CC"/>
          <w:sz w:val="22"/>
          <w:szCs w:val="22"/>
        </w:rPr>
      </w:pPr>
      <w:r w:rsidRPr="00C74C86">
        <w:rPr>
          <w:rFonts w:cs="Arial"/>
          <w:color w:val="auto"/>
          <w:sz w:val="22"/>
          <w:szCs w:val="22"/>
        </w:rPr>
        <w:t>T</w:t>
      </w:r>
      <w:r w:rsidR="00376722" w:rsidRPr="00C74C86">
        <w:rPr>
          <w:rFonts w:cs="Arial"/>
          <w:color w:val="auto"/>
          <w:sz w:val="22"/>
          <w:szCs w:val="22"/>
        </w:rPr>
        <w:t xml:space="preserve">o facilitate these changes, the Dean of Students </w:t>
      </w:r>
      <w:r w:rsidR="00C74C86">
        <w:rPr>
          <w:rFonts w:cs="Arial"/>
          <w:color w:val="auto"/>
          <w:sz w:val="22"/>
          <w:szCs w:val="22"/>
        </w:rPr>
        <w:t>assumed more</w:t>
      </w:r>
      <w:r w:rsidR="00125371" w:rsidRPr="00C74C86">
        <w:rPr>
          <w:rFonts w:cs="Arial"/>
          <w:color w:val="auto"/>
          <w:sz w:val="22"/>
          <w:szCs w:val="22"/>
        </w:rPr>
        <w:t xml:space="preserve"> responsibilities</w:t>
      </w:r>
      <w:r w:rsidR="00125371">
        <w:rPr>
          <w:rFonts w:cs="Arial"/>
          <w:color w:val="auto"/>
          <w:sz w:val="22"/>
          <w:szCs w:val="22"/>
        </w:rPr>
        <w:t xml:space="preserve"> and became</w:t>
      </w:r>
      <w:r w:rsidR="00376722" w:rsidRPr="00CC3732">
        <w:rPr>
          <w:rFonts w:cs="Arial"/>
          <w:color w:val="auto"/>
          <w:sz w:val="22"/>
          <w:szCs w:val="22"/>
        </w:rPr>
        <w:t xml:space="preserve"> Associate Vice Chancellor of Student Affairs</w:t>
      </w:r>
      <w:r w:rsidR="00125371">
        <w:rPr>
          <w:rFonts w:cs="Arial"/>
          <w:color w:val="auto"/>
          <w:sz w:val="22"/>
          <w:szCs w:val="22"/>
        </w:rPr>
        <w:t>/Dean of Students.  T</w:t>
      </w:r>
      <w:r w:rsidR="00376722">
        <w:rPr>
          <w:rFonts w:cs="Arial"/>
          <w:color w:val="auto"/>
          <w:sz w:val="22"/>
          <w:szCs w:val="22"/>
        </w:rPr>
        <w:t>he Director of Admissions</w:t>
      </w:r>
      <w:r w:rsidR="00376722" w:rsidRPr="00CC3732">
        <w:rPr>
          <w:rFonts w:cs="Arial"/>
          <w:color w:val="auto"/>
          <w:sz w:val="22"/>
          <w:szCs w:val="22"/>
        </w:rPr>
        <w:t xml:space="preserve"> was elevated to the </w:t>
      </w:r>
      <w:r w:rsidR="00376722" w:rsidRPr="009E2C2D">
        <w:rPr>
          <w:rFonts w:cs="Arial"/>
          <w:color w:val="auto"/>
          <w:sz w:val="22"/>
          <w:szCs w:val="22"/>
        </w:rPr>
        <w:t>position of Dir</w:t>
      </w:r>
      <w:r w:rsidRPr="009E2C2D">
        <w:rPr>
          <w:rFonts w:cs="Arial"/>
          <w:color w:val="auto"/>
          <w:sz w:val="22"/>
          <w:szCs w:val="22"/>
        </w:rPr>
        <w:t>ector of Enrollment Management and now</w:t>
      </w:r>
      <w:r w:rsidR="00376722" w:rsidRPr="009E2C2D">
        <w:rPr>
          <w:rFonts w:cs="Arial"/>
          <w:color w:val="auto"/>
          <w:sz w:val="22"/>
          <w:szCs w:val="22"/>
        </w:rPr>
        <w:t xml:space="preserve"> oversees </w:t>
      </w:r>
      <w:r w:rsidRPr="009E2C2D">
        <w:rPr>
          <w:rFonts w:cs="Arial"/>
          <w:color w:val="auto"/>
          <w:sz w:val="22"/>
          <w:szCs w:val="22"/>
        </w:rPr>
        <w:t xml:space="preserve">the </w:t>
      </w:r>
      <w:r w:rsidR="00125371" w:rsidRPr="009E2C2D">
        <w:rPr>
          <w:rFonts w:cs="Arial"/>
          <w:color w:val="auto"/>
          <w:sz w:val="22"/>
          <w:szCs w:val="22"/>
        </w:rPr>
        <w:t xml:space="preserve">Enrollment Services </w:t>
      </w:r>
      <w:r w:rsidR="00376722" w:rsidRPr="009E2C2D">
        <w:rPr>
          <w:rFonts w:cs="Arial"/>
          <w:color w:val="auto"/>
          <w:sz w:val="22"/>
          <w:szCs w:val="22"/>
        </w:rPr>
        <w:t>One-Stop-</w:t>
      </w:r>
      <w:r w:rsidR="00125371" w:rsidRPr="009E2C2D">
        <w:rPr>
          <w:rFonts w:cs="Arial"/>
          <w:color w:val="auto"/>
          <w:sz w:val="22"/>
          <w:szCs w:val="22"/>
        </w:rPr>
        <w:t>Shop.</w:t>
      </w:r>
      <w:r w:rsidR="00732BCB" w:rsidRPr="009E2C2D">
        <w:rPr>
          <w:rFonts w:cs="Arial"/>
          <w:color w:val="auto"/>
          <w:sz w:val="22"/>
          <w:szCs w:val="22"/>
        </w:rPr>
        <w:t xml:space="preserve">  </w:t>
      </w:r>
      <w:r w:rsidR="00376722" w:rsidRPr="009E2C2D">
        <w:rPr>
          <w:rFonts w:cs="Arial"/>
          <w:color w:val="auto"/>
          <w:sz w:val="22"/>
          <w:szCs w:val="22"/>
        </w:rPr>
        <w:t xml:space="preserve">The Director of Financial Aid was elevated to the Director of Enrollment Processing and serves as the subject matter expert for all financial aid, scholarships, class scheduling, </w:t>
      </w:r>
      <w:r w:rsidR="009E2C2D" w:rsidRPr="009E2C2D">
        <w:rPr>
          <w:rFonts w:cs="Arial"/>
          <w:color w:val="auto"/>
          <w:sz w:val="22"/>
          <w:szCs w:val="22"/>
        </w:rPr>
        <w:t xml:space="preserve">for </w:t>
      </w:r>
      <w:r w:rsidR="00376722" w:rsidRPr="009E2C2D">
        <w:rPr>
          <w:rFonts w:cs="Arial"/>
          <w:color w:val="auto"/>
          <w:sz w:val="22"/>
          <w:szCs w:val="22"/>
        </w:rPr>
        <w:t>pre-requisite and graduation requirements, catalog production, p</w:t>
      </w:r>
      <w:r w:rsidR="005B74BC">
        <w:rPr>
          <w:rFonts w:cs="Arial"/>
          <w:color w:val="auto"/>
          <w:sz w:val="22"/>
          <w:szCs w:val="22"/>
        </w:rPr>
        <w:t>art-time faculty contracts, and</w:t>
      </w:r>
      <w:r w:rsidR="009E2C2D" w:rsidRPr="009E2C2D">
        <w:rPr>
          <w:rFonts w:cs="Arial"/>
          <w:color w:val="auto"/>
          <w:sz w:val="22"/>
          <w:szCs w:val="22"/>
        </w:rPr>
        <w:t xml:space="preserve"> </w:t>
      </w:r>
      <w:r w:rsidR="00376722" w:rsidRPr="009E2C2D">
        <w:rPr>
          <w:rFonts w:cs="Arial"/>
          <w:color w:val="auto"/>
          <w:sz w:val="22"/>
          <w:szCs w:val="22"/>
        </w:rPr>
        <w:t>related issues.</w:t>
      </w:r>
    </w:p>
    <w:p w:rsidR="002B020E" w:rsidRDefault="002B020E" w:rsidP="001B4D6A">
      <w:pPr>
        <w:pStyle w:val="PlainText"/>
        <w:rPr>
          <w:rFonts w:cs="Arial"/>
          <w:color w:val="auto"/>
          <w:sz w:val="22"/>
          <w:szCs w:val="22"/>
        </w:rPr>
      </w:pPr>
    </w:p>
    <w:p w:rsidR="002B020E" w:rsidRDefault="00E21B15" w:rsidP="001B4D6A">
      <w:pPr>
        <w:pStyle w:val="PlainText"/>
        <w:rPr>
          <w:rFonts w:cs="Arial"/>
          <w:color w:val="auto"/>
          <w:sz w:val="22"/>
          <w:szCs w:val="22"/>
          <w:highlight w:val="yellow"/>
        </w:rPr>
      </w:pPr>
      <w:r>
        <w:rPr>
          <w:rFonts w:cs="Arial"/>
          <w:noProof/>
          <w:color w:val="auto"/>
          <w:sz w:val="22"/>
          <w:szCs w:val="22"/>
        </w:rPr>
        <w:pict>
          <v:roundrect id="_x0000_s1049" style="position:absolute;margin-left:-4.5pt;margin-top:5.4pt;width:472.5pt;height:128.35pt;z-index:-251590144" arcsize="10923f" fillcolor="#bfbfbf">
            <v:fill opacity="19661f"/>
          </v:roundrect>
        </w:pict>
      </w:r>
    </w:p>
    <w:p w:rsidR="002B020E" w:rsidRDefault="002B020E" w:rsidP="001B4D6A">
      <w:pPr>
        <w:pStyle w:val="PlainText"/>
        <w:jc w:val="center"/>
        <w:rPr>
          <w:rFonts w:cs="Arial"/>
          <w:color w:val="auto"/>
          <w:sz w:val="22"/>
          <w:szCs w:val="22"/>
        </w:rPr>
      </w:pPr>
      <w:r w:rsidRPr="00A0346F">
        <w:rPr>
          <w:rFonts w:cs="Arial"/>
          <w:color w:val="auto"/>
          <w:sz w:val="22"/>
          <w:szCs w:val="22"/>
        </w:rPr>
        <w:t>C</w:t>
      </w:r>
      <w:r>
        <w:rPr>
          <w:rFonts w:cs="Arial"/>
          <w:color w:val="auto"/>
          <w:sz w:val="22"/>
          <w:szCs w:val="22"/>
        </w:rPr>
        <w:t>losing the L</w:t>
      </w:r>
      <w:r w:rsidRPr="00A0346F">
        <w:rPr>
          <w:rFonts w:cs="Arial"/>
          <w:color w:val="auto"/>
          <w:sz w:val="22"/>
          <w:szCs w:val="22"/>
        </w:rPr>
        <w:t>oop</w:t>
      </w:r>
    </w:p>
    <w:p w:rsidR="002B020E" w:rsidRDefault="002B020E" w:rsidP="001B4D6A">
      <w:pPr>
        <w:pStyle w:val="PlainText"/>
        <w:jc w:val="center"/>
        <w:rPr>
          <w:rFonts w:cs="Arial"/>
          <w:color w:val="auto"/>
          <w:sz w:val="22"/>
          <w:szCs w:val="22"/>
        </w:rPr>
      </w:pPr>
      <w:r>
        <w:rPr>
          <w:rFonts w:cs="Arial"/>
          <w:color w:val="auto"/>
          <w:sz w:val="22"/>
          <w:szCs w:val="22"/>
        </w:rPr>
        <w:t>Montana Tech creates the One-Stop-Shop.</w:t>
      </w:r>
    </w:p>
    <w:p w:rsidR="002B020E" w:rsidRDefault="002B020E" w:rsidP="001B4D6A">
      <w:pPr>
        <w:pStyle w:val="PlainText"/>
        <w:jc w:val="center"/>
        <w:rPr>
          <w:rFonts w:cs="Arial"/>
          <w:color w:val="auto"/>
          <w:sz w:val="22"/>
          <w:szCs w:val="22"/>
        </w:rPr>
      </w:pPr>
    </w:p>
    <w:p w:rsidR="002B020E" w:rsidRDefault="002B020E" w:rsidP="001B4D6A">
      <w:pPr>
        <w:pStyle w:val="PlainText"/>
        <w:rPr>
          <w:rFonts w:cs="Arial"/>
          <w:color w:val="auto"/>
          <w:sz w:val="22"/>
          <w:szCs w:val="22"/>
        </w:rPr>
      </w:pPr>
      <w:r w:rsidRPr="00CC3732">
        <w:rPr>
          <w:rFonts w:cs="Arial"/>
          <w:color w:val="auto"/>
          <w:sz w:val="22"/>
          <w:szCs w:val="22"/>
        </w:rPr>
        <w:t>Today’s students expect instant feedback and immediate service.</w:t>
      </w:r>
      <w:r>
        <w:rPr>
          <w:rFonts w:cs="Arial"/>
          <w:color w:val="auto"/>
          <w:sz w:val="22"/>
          <w:szCs w:val="22"/>
        </w:rPr>
        <w:t xml:space="preserve">  In S</w:t>
      </w:r>
      <w:r w:rsidRPr="00CC3732">
        <w:rPr>
          <w:rFonts w:cs="Arial"/>
          <w:color w:val="auto"/>
          <w:sz w:val="22"/>
          <w:szCs w:val="22"/>
        </w:rPr>
        <w:t>pring 2008, a strategic move was made to better serve our curr</w:t>
      </w:r>
      <w:r w:rsidR="00AA0358">
        <w:rPr>
          <w:rFonts w:cs="Arial"/>
          <w:color w:val="auto"/>
          <w:sz w:val="22"/>
          <w:szCs w:val="22"/>
        </w:rPr>
        <w:t>ent and future students with</w:t>
      </w:r>
      <w:r>
        <w:rPr>
          <w:rFonts w:cs="Arial"/>
          <w:color w:val="auto"/>
          <w:sz w:val="22"/>
          <w:szCs w:val="22"/>
        </w:rPr>
        <w:t xml:space="preserve"> a One-Stop-Shop</w:t>
      </w:r>
      <w:r w:rsidRPr="00CC3732">
        <w:rPr>
          <w:rFonts w:cs="Arial"/>
          <w:color w:val="auto"/>
          <w:sz w:val="22"/>
          <w:szCs w:val="22"/>
        </w:rPr>
        <w:t xml:space="preserve"> </w:t>
      </w:r>
      <w:r>
        <w:rPr>
          <w:rFonts w:cs="Arial"/>
          <w:color w:val="auto"/>
          <w:sz w:val="22"/>
          <w:szCs w:val="22"/>
        </w:rPr>
        <w:t xml:space="preserve">concept. This </w:t>
      </w:r>
      <w:r w:rsidRPr="00CC3732">
        <w:rPr>
          <w:rFonts w:cs="Arial"/>
          <w:color w:val="auto"/>
          <w:sz w:val="22"/>
          <w:szCs w:val="22"/>
        </w:rPr>
        <w:t>One-Stop-</w:t>
      </w:r>
      <w:r>
        <w:rPr>
          <w:rFonts w:cs="Arial"/>
          <w:color w:val="auto"/>
          <w:sz w:val="22"/>
          <w:szCs w:val="22"/>
        </w:rPr>
        <w:t>Shop combined</w:t>
      </w:r>
      <w:r w:rsidRPr="00CC3732">
        <w:rPr>
          <w:rFonts w:cs="Arial"/>
          <w:color w:val="auto"/>
          <w:sz w:val="22"/>
          <w:szCs w:val="22"/>
        </w:rPr>
        <w:t xml:space="preserve"> process</w:t>
      </w:r>
      <w:r>
        <w:rPr>
          <w:rFonts w:cs="Arial"/>
          <w:color w:val="auto"/>
          <w:sz w:val="22"/>
          <w:szCs w:val="22"/>
        </w:rPr>
        <w:t>es of the Admissions, Registrar</w:t>
      </w:r>
      <w:r w:rsidRPr="00CC3732">
        <w:rPr>
          <w:rFonts w:cs="Arial"/>
          <w:color w:val="auto"/>
          <w:sz w:val="22"/>
          <w:szCs w:val="22"/>
        </w:rPr>
        <w:t>, and Financial Aid Offices. The goal was to provide a single location to maximize the efficiency and effec</w:t>
      </w:r>
      <w:r>
        <w:rPr>
          <w:rFonts w:cs="Arial"/>
          <w:color w:val="auto"/>
          <w:sz w:val="22"/>
          <w:szCs w:val="22"/>
        </w:rPr>
        <w:t>tiveness of student interactions</w:t>
      </w:r>
      <w:r w:rsidRPr="00CC3732">
        <w:rPr>
          <w:rFonts w:cs="Arial"/>
          <w:color w:val="auto"/>
          <w:sz w:val="22"/>
          <w:szCs w:val="22"/>
        </w:rPr>
        <w:t xml:space="preserve"> o</w:t>
      </w:r>
      <w:r>
        <w:rPr>
          <w:rFonts w:cs="Arial"/>
          <w:color w:val="auto"/>
          <w:sz w:val="22"/>
          <w:szCs w:val="22"/>
        </w:rPr>
        <w:t xml:space="preserve">utside the classroom. </w:t>
      </w:r>
      <w:r w:rsidRPr="00814072">
        <w:rPr>
          <w:rFonts w:cs="Arial"/>
          <w:color w:val="auto"/>
          <w:sz w:val="22"/>
          <w:szCs w:val="22"/>
        </w:rPr>
        <w:t xml:space="preserve">Enrollment Services is located in the renovated </w:t>
      </w:r>
      <w:r w:rsidR="00BC5572">
        <w:rPr>
          <w:rFonts w:cs="Arial"/>
          <w:color w:val="auto"/>
          <w:sz w:val="22"/>
          <w:szCs w:val="22"/>
        </w:rPr>
        <w:t>area on the 2nd</w:t>
      </w:r>
      <w:r>
        <w:rPr>
          <w:rFonts w:cs="Arial"/>
          <w:color w:val="auto"/>
          <w:sz w:val="22"/>
          <w:szCs w:val="22"/>
        </w:rPr>
        <w:t xml:space="preserve"> floor of the Mining Geology Building</w:t>
      </w:r>
      <w:r w:rsidRPr="00814072">
        <w:rPr>
          <w:rFonts w:cs="Arial"/>
          <w:color w:val="auto"/>
          <w:sz w:val="22"/>
          <w:szCs w:val="22"/>
        </w:rPr>
        <w:t>.</w:t>
      </w:r>
    </w:p>
    <w:p w:rsidR="001177B3" w:rsidRPr="00C102D3" w:rsidRDefault="001177B3" w:rsidP="001B4D6A">
      <w:pPr>
        <w:pStyle w:val="PlainText"/>
        <w:rPr>
          <w:color w:val="auto"/>
        </w:rPr>
      </w:pPr>
    </w:p>
    <w:p w:rsidR="003F4A11" w:rsidRDefault="003F4A11" w:rsidP="001B4D6A">
      <w:pPr>
        <w:rPr>
          <w:rFonts w:ascii="Arial" w:hAnsi="Arial" w:cs="Arial"/>
          <w:b/>
          <w:bCs/>
          <w:i/>
          <w:iCs/>
          <w:sz w:val="28"/>
          <w:szCs w:val="22"/>
        </w:rPr>
      </w:pPr>
    </w:p>
    <w:p w:rsidR="00AE56F4" w:rsidRDefault="00AE56F4" w:rsidP="001B4D6A">
      <w:pPr>
        <w:rPr>
          <w:rFonts w:ascii="Arial" w:hAnsi="Arial" w:cs="Arial"/>
          <w:b/>
          <w:bCs/>
          <w:i/>
          <w:iCs/>
          <w:sz w:val="28"/>
          <w:szCs w:val="22"/>
        </w:rPr>
      </w:pPr>
      <w:r w:rsidRPr="00AE56F4">
        <w:rPr>
          <w:rFonts w:ascii="Arial" w:hAnsi="Arial" w:cs="Arial"/>
          <w:b/>
          <w:bCs/>
          <w:i/>
          <w:iCs/>
          <w:sz w:val="28"/>
          <w:szCs w:val="22"/>
        </w:rPr>
        <w:t>Standard 3.C - Academic Credit and Records</w:t>
      </w:r>
      <w:r w:rsidR="001B783E">
        <w:rPr>
          <w:rFonts w:ascii="Arial" w:hAnsi="Arial" w:cs="Arial"/>
          <w:b/>
          <w:bCs/>
          <w:i/>
          <w:iCs/>
          <w:sz w:val="28"/>
          <w:szCs w:val="22"/>
        </w:rPr>
        <w:t xml:space="preserve"> </w:t>
      </w:r>
    </w:p>
    <w:p w:rsidR="001B783E" w:rsidRPr="001B783E" w:rsidRDefault="001B783E" w:rsidP="001B4D6A">
      <w:pPr>
        <w:rPr>
          <w:rFonts w:ascii="Arial" w:hAnsi="Arial" w:cs="Arial"/>
          <w:b/>
          <w:bCs/>
          <w:i/>
          <w:iCs/>
          <w:sz w:val="22"/>
          <w:szCs w:val="22"/>
        </w:rPr>
      </w:pPr>
    </w:p>
    <w:p w:rsidR="001B783E" w:rsidRPr="001B783E" w:rsidRDefault="001B783E" w:rsidP="001B4D6A">
      <w:pPr>
        <w:rPr>
          <w:rFonts w:ascii="Arial" w:hAnsi="Arial" w:cs="Arial"/>
          <w:b/>
          <w:bCs/>
          <w:i/>
          <w:iCs/>
          <w:sz w:val="22"/>
          <w:szCs w:val="22"/>
        </w:rPr>
      </w:pPr>
      <w:r>
        <w:rPr>
          <w:rFonts w:ascii="Arial" w:hAnsi="Arial" w:cs="Arial"/>
          <w:b/>
          <w:bCs/>
          <w:i/>
          <w:iCs/>
          <w:sz w:val="22"/>
          <w:szCs w:val="22"/>
        </w:rPr>
        <w:t>Evaluation of student learning or achievement, and the award of credit, are based upon clearly stated and distinguishable criteria.  Academic records are accurate, secure and comprehensive.</w:t>
      </w:r>
    </w:p>
    <w:p w:rsidR="006C2E83" w:rsidRPr="006C2E83" w:rsidRDefault="006C2E83" w:rsidP="001B4D6A">
      <w:r>
        <w:tab/>
      </w:r>
    </w:p>
    <w:p w:rsidR="00AE56F4" w:rsidRPr="008B0519" w:rsidRDefault="009A392B" w:rsidP="001B4D6A">
      <w:pPr>
        <w:rPr>
          <w:rFonts w:ascii="Arial" w:hAnsi="Arial" w:cs="Arial"/>
          <w:b/>
          <w:sz w:val="22"/>
          <w:szCs w:val="22"/>
        </w:rPr>
      </w:pPr>
      <w:r>
        <w:rPr>
          <w:rFonts w:ascii="Arial" w:hAnsi="Arial" w:cs="Arial"/>
          <w:b/>
          <w:sz w:val="22"/>
          <w:szCs w:val="22"/>
        </w:rPr>
        <w:t>3.C.1</w:t>
      </w:r>
      <w:r>
        <w:rPr>
          <w:rFonts w:ascii="Arial" w:hAnsi="Arial" w:cs="Arial"/>
          <w:b/>
          <w:sz w:val="22"/>
          <w:szCs w:val="22"/>
        </w:rPr>
        <w:tab/>
      </w:r>
      <w:r w:rsidR="00AE56F4" w:rsidRPr="00AE56F4">
        <w:rPr>
          <w:rFonts w:ascii="Arial" w:hAnsi="Arial" w:cs="Arial"/>
          <w:b/>
          <w:sz w:val="22"/>
          <w:szCs w:val="22"/>
        </w:rPr>
        <w:t xml:space="preserve">Evaluation of student learning or achievement, and the award of credit, are based upon clearly stated and distinguishable criteria. Academic records are accurate, secure, and comprehensive. Credit is defined and awarded consonant with the Glossary </w:t>
      </w:r>
      <w:r w:rsidR="00AE56F4" w:rsidRPr="008B0519">
        <w:rPr>
          <w:rFonts w:ascii="Arial" w:hAnsi="Arial" w:cs="Arial"/>
          <w:b/>
          <w:sz w:val="22"/>
          <w:szCs w:val="22"/>
        </w:rPr>
        <w:t>definition.</w:t>
      </w:r>
    </w:p>
    <w:p w:rsidR="00A45A83" w:rsidRPr="008B0519" w:rsidRDefault="00A45A83" w:rsidP="001B4D6A">
      <w:pPr>
        <w:rPr>
          <w:rFonts w:ascii="Arial" w:hAnsi="Arial" w:cs="Arial"/>
          <w:sz w:val="22"/>
          <w:szCs w:val="22"/>
        </w:rPr>
      </w:pPr>
    </w:p>
    <w:p w:rsidR="00262F70" w:rsidRPr="008B0519" w:rsidRDefault="001E6D41" w:rsidP="001B4D6A">
      <w:pPr>
        <w:rPr>
          <w:rFonts w:ascii="Arial" w:hAnsi="Arial" w:cs="Arial"/>
          <w:sz w:val="22"/>
          <w:szCs w:val="22"/>
        </w:rPr>
      </w:pPr>
      <w:r w:rsidRPr="00621873">
        <w:rPr>
          <w:rFonts w:ascii="Arial" w:hAnsi="Arial" w:cs="Arial"/>
          <w:sz w:val="22"/>
          <w:szCs w:val="22"/>
        </w:rPr>
        <w:t>C</w:t>
      </w:r>
      <w:r w:rsidR="00262F70" w:rsidRPr="00621873">
        <w:rPr>
          <w:rFonts w:ascii="Arial" w:hAnsi="Arial" w:cs="Arial"/>
          <w:sz w:val="22"/>
          <w:szCs w:val="22"/>
        </w:rPr>
        <w:t>redit is defined and awarded based on the definition found in t</w:t>
      </w:r>
      <w:r w:rsidRPr="00621873">
        <w:rPr>
          <w:rFonts w:ascii="Arial" w:hAnsi="Arial" w:cs="Arial"/>
          <w:sz w:val="22"/>
          <w:szCs w:val="22"/>
        </w:rPr>
        <w:t xml:space="preserve">he Montana Tech </w:t>
      </w:r>
      <w:r w:rsidRPr="00925C9C">
        <w:rPr>
          <w:rFonts w:ascii="Arial" w:hAnsi="Arial" w:cs="Arial"/>
          <w:sz w:val="22"/>
          <w:szCs w:val="22"/>
        </w:rPr>
        <w:t>Catalog</w:t>
      </w:r>
      <w:r w:rsidR="00732BCB">
        <w:rPr>
          <w:rFonts w:ascii="Arial" w:hAnsi="Arial" w:cs="Arial"/>
          <w:sz w:val="22"/>
          <w:szCs w:val="22"/>
        </w:rPr>
        <w:t xml:space="preserve">.  </w:t>
      </w:r>
      <w:r w:rsidRPr="00621873">
        <w:rPr>
          <w:rFonts w:ascii="Arial" w:hAnsi="Arial" w:cs="Arial"/>
          <w:sz w:val="22"/>
          <w:szCs w:val="22"/>
        </w:rPr>
        <w:t>A credit represents 50 minutes of lecture instruction</w:t>
      </w:r>
      <w:r w:rsidR="007F20E7">
        <w:rPr>
          <w:rFonts w:ascii="Arial" w:hAnsi="Arial" w:cs="Arial"/>
          <w:sz w:val="22"/>
          <w:szCs w:val="22"/>
        </w:rPr>
        <w:t xml:space="preserve"> per week for one semester</w:t>
      </w:r>
      <w:r w:rsidR="00262F70" w:rsidRPr="00621873">
        <w:rPr>
          <w:rFonts w:ascii="Arial" w:hAnsi="Arial" w:cs="Arial"/>
          <w:sz w:val="22"/>
          <w:szCs w:val="22"/>
        </w:rPr>
        <w:t xml:space="preserve">. </w:t>
      </w:r>
      <w:r w:rsidRPr="00621873">
        <w:rPr>
          <w:rFonts w:ascii="Arial" w:hAnsi="Arial" w:cs="Arial"/>
          <w:sz w:val="22"/>
          <w:szCs w:val="22"/>
        </w:rPr>
        <w:t xml:space="preserve"> The actual time required for each credit may involve any combination of lecture and/or the equivalent of </w:t>
      </w:r>
      <w:r w:rsidRPr="00621873">
        <w:rPr>
          <w:rFonts w:ascii="Arial" w:hAnsi="Arial" w:cs="Arial"/>
          <w:sz w:val="22"/>
          <w:szCs w:val="22"/>
        </w:rPr>
        <w:lastRenderedPageBreak/>
        <w:t>recitation or laboratory work.</w:t>
      </w:r>
      <w:r w:rsidR="00262F70" w:rsidRPr="00621873">
        <w:rPr>
          <w:rFonts w:ascii="Arial" w:hAnsi="Arial" w:cs="Arial"/>
          <w:sz w:val="22"/>
          <w:szCs w:val="22"/>
        </w:rPr>
        <w:t xml:space="preserve"> Course review and approval, which ensures</w:t>
      </w:r>
      <w:r w:rsidR="00262F70" w:rsidRPr="008B0519">
        <w:rPr>
          <w:rFonts w:ascii="Arial" w:hAnsi="Arial" w:cs="Arial"/>
          <w:sz w:val="22"/>
          <w:szCs w:val="22"/>
        </w:rPr>
        <w:t xml:space="preserve"> compliance with these standards, is accomplished through the Curriculum Review Committee.</w:t>
      </w:r>
      <w:r w:rsidR="00262F70">
        <w:rPr>
          <w:rFonts w:ascii="Arial" w:hAnsi="Arial" w:cs="Arial"/>
          <w:sz w:val="22"/>
          <w:szCs w:val="22"/>
        </w:rPr>
        <w:t xml:space="preserve"> </w:t>
      </w:r>
    </w:p>
    <w:p w:rsidR="00262F70" w:rsidRDefault="00262F70" w:rsidP="001B4D6A">
      <w:pPr>
        <w:rPr>
          <w:rFonts w:ascii="Arial" w:hAnsi="Arial" w:cs="Arial"/>
          <w:sz w:val="22"/>
          <w:szCs w:val="22"/>
        </w:rPr>
      </w:pPr>
    </w:p>
    <w:p w:rsidR="00A45A83" w:rsidRPr="008B0519" w:rsidRDefault="00A45A83" w:rsidP="001B4D6A">
      <w:pPr>
        <w:rPr>
          <w:rFonts w:ascii="Arial" w:hAnsi="Arial" w:cs="Arial"/>
          <w:sz w:val="22"/>
          <w:szCs w:val="22"/>
        </w:rPr>
      </w:pPr>
      <w:r w:rsidRPr="008B0519">
        <w:rPr>
          <w:rFonts w:ascii="Arial" w:hAnsi="Arial" w:cs="Arial"/>
          <w:sz w:val="22"/>
          <w:szCs w:val="22"/>
        </w:rPr>
        <w:t>Current student records</w:t>
      </w:r>
      <w:r w:rsidR="00A51AE7">
        <w:rPr>
          <w:rFonts w:ascii="Arial" w:hAnsi="Arial" w:cs="Arial"/>
          <w:sz w:val="22"/>
          <w:szCs w:val="22"/>
        </w:rPr>
        <w:t>,</w:t>
      </w:r>
      <w:r w:rsidRPr="008B0519">
        <w:rPr>
          <w:rFonts w:ascii="Arial" w:hAnsi="Arial" w:cs="Arial"/>
          <w:sz w:val="22"/>
          <w:szCs w:val="22"/>
        </w:rPr>
        <w:t xml:space="preserve"> including transcripts</w:t>
      </w:r>
      <w:r w:rsidR="00A51AE7">
        <w:rPr>
          <w:rFonts w:ascii="Arial" w:hAnsi="Arial" w:cs="Arial"/>
          <w:sz w:val="22"/>
          <w:szCs w:val="22"/>
        </w:rPr>
        <w:t>,</w:t>
      </w:r>
      <w:r w:rsidRPr="008B0519">
        <w:rPr>
          <w:rFonts w:ascii="Arial" w:hAnsi="Arial" w:cs="Arial"/>
          <w:sz w:val="22"/>
          <w:szCs w:val="22"/>
        </w:rPr>
        <w:t xml:space="preserve"> are maintained on the Banner Student Information </w:t>
      </w:r>
      <w:r w:rsidR="009E2C2D">
        <w:rPr>
          <w:rFonts w:ascii="Arial" w:hAnsi="Arial" w:cs="Arial"/>
          <w:sz w:val="22"/>
          <w:szCs w:val="22"/>
        </w:rPr>
        <w:t>System Database</w:t>
      </w:r>
      <w:r w:rsidR="0072236E">
        <w:rPr>
          <w:rFonts w:ascii="Arial" w:hAnsi="Arial" w:cs="Arial"/>
          <w:sz w:val="22"/>
          <w:szCs w:val="22"/>
        </w:rPr>
        <w:t>,</w:t>
      </w:r>
      <w:r w:rsidR="009E2C2D">
        <w:rPr>
          <w:rFonts w:ascii="Arial" w:hAnsi="Arial" w:cs="Arial"/>
          <w:sz w:val="22"/>
          <w:szCs w:val="22"/>
        </w:rPr>
        <w:t xml:space="preserve"> which is backed up weekly and</w:t>
      </w:r>
      <w:r w:rsidRPr="008B0519">
        <w:rPr>
          <w:rFonts w:ascii="Arial" w:hAnsi="Arial" w:cs="Arial"/>
          <w:sz w:val="22"/>
          <w:szCs w:val="22"/>
        </w:rPr>
        <w:t xml:space="preserve"> secured off</w:t>
      </w:r>
      <w:r w:rsidR="009E2C2D">
        <w:rPr>
          <w:rFonts w:ascii="Arial" w:hAnsi="Arial" w:cs="Arial"/>
          <w:sz w:val="22"/>
          <w:szCs w:val="22"/>
        </w:rPr>
        <w:t>-site. Records that pre-date</w:t>
      </w:r>
      <w:r w:rsidRPr="008B0519">
        <w:rPr>
          <w:rFonts w:ascii="Arial" w:hAnsi="Arial" w:cs="Arial"/>
          <w:sz w:val="22"/>
          <w:szCs w:val="22"/>
        </w:rPr>
        <w:t xml:space="preserve"> implementation of Banner (1989) are stored in fire-proof file cabinets or electronically in</w:t>
      </w:r>
      <w:r w:rsidRPr="00376722">
        <w:rPr>
          <w:rFonts w:ascii="Arial" w:hAnsi="Arial" w:cs="Arial"/>
          <w:sz w:val="22"/>
          <w:szCs w:val="22"/>
        </w:rPr>
        <w:t xml:space="preserve"> </w:t>
      </w:r>
      <w:r w:rsidR="00376722" w:rsidRPr="00376722">
        <w:rPr>
          <w:rFonts w:ascii="Arial" w:hAnsi="Arial" w:cs="Arial"/>
          <w:sz w:val="22"/>
          <w:szCs w:val="22"/>
        </w:rPr>
        <w:t>NOLIJ™</w:t>
      </w:r>
      <w:r w:rsidR="00376722">
        <w:rPr>
          <w:rFonts w:ascii="Arial" w:hAnsi="Arial" w:cs="Arial"/>
          <w:color w:val="FF0000"/>
          <w:sz w:val="22"/>
          <w:szCs w:val="22"/>
        </w:rPr>
        <w:t xml:space="preserve"> </w:t>
      </w:r>
      <w:r w:rsidR="000F0257">
        <w:rPr>
          <w:rFonts w:ascii="Arial" w:hAnsi="Arial" w:cs="Arial"/>
          <w:sz w:val="22"/>
          <w:szCs w:val="22"/>
        </w:rPr>
        <w:t>(the system used to store/retrieve scanned documents)</w:t>
      </w:r>
      <w:r w:rsidRPr="008B0519">
        <w:rPr>
          <w:rFonts w:ascii="Arial" w:hAnsi="Arial" w:cs="Arial"/>
          <w:sz w:val="22"/>
          <w:szCs w:val="22"/>
        </w:rPr>
        <w:t>.  This</w:t>
      </w:r>
      <w:r w:rsidR="007F20E7">
        <w:rPr>
          <w:rFonts w:ascii="Arial" w:hAnsi="Arial" w:cs="Arial"/>
          <w:sz w:val="22"/>
          <w:szCs w:val="22"/>
        </w:rPr>
        <w:t xml:space="preserve"> system</w:t>
      </w:r>
      <w:r w:rsidR="00CD346B">
        <w:rPr>
          <w:rFonts w:ascii="Arial" w:hAnsi="Arial" w:cs="Arial"/>
          <w:sz w:val="22"/>
          <w:szCs w:val="22"/>
        </w:rPr>
        <w:t xml:space="preserve"> is backed up </w:t>
      </w:r>
      <w:r w:rsidRPr="008B0519">
        <w:rPr>
          <w:rFonts w:ascii="Arial" w:hAnsi="Arial" w:cs="Arial"/>
          <w:sz w:val="22"/>
          <w:szCs w:val="22"/>
        </w:rPr>
        <w:t>weekly and secured off-site.</w:t>
      </w:r>
      <w:r w:rsidR="0072043B" w:rsidRPr="008B0519">
        <w:rPr>
          <w:rFonts w:ascii="Arial" w:hAnsi="Arial" w:cs="Arial"/>
          <w:sz w:val="22"/>
          <w:szCs w:val="22"/>
        </w:rPr>
        <w:t xml:space="preserve"> </w:t>
      </w:r>
    </w:p>
    <w:p w:rsidR="00AA7A5F" w:rsidRPr="008B0519" w:rsidRDefault="00AA7A5F" w:rsidP="001B4D6A">
      <w:pPr>
        <w:rPr>
          <w:rFonts w:ascii="Arial" w:hAnsi="Arial" w:cs="Arial"/>
          <w:sz w:val="22"/>
          <w:szCs w:val="22"/>
        </w:rPr>
      </w:pPr>
    </w:p>
    <w:p w:rsidR="00AE56F4" w:rsidRPr="008B0519" w:rsidRDefault="009A392B" w:rsidP="001B4D6A">
      <w:pPr>
        <w:rPr>
          <w:rFonts w:ascii="Arial" w:hAnsi="Arial" w:cs="Arial"/>
          <w:b/>
          <w:sz w:val="22"/>
          <w:szCs w:val="22"/>
        </w:rPr>
      </w:pPr>
      <w:r>
        <w:rPr>
          <w:rFonts w:ascii="Arial" w:hAnsi="Arial" w:cs="Arial"/>
          <w:b/>
          <w:sz w:val="22"/>
          <w:szCs w:val="22"/>
        </w:rPr>
        <w:t>3.C.2</w:t>
      </w:r>
      <w:r>
        <w:rPr>
          <w:rFonts w:ascii="Arial" w:hAnsi="Arial" w:cs="Arial"/>
          <w:b/>
          <w:sz w:val="22"/>
          <w:szCs w:val="22"/>
        </w:rPr>
        <w:tab/>
      </w:r>
      <w:r w:rsidR="00AE56F4" w:rsidRPr="00AE56F4">
        <w:rPr>
          <w:rFonts w:ascii="Arial" w:hAnsi="Arial" w:cs="Arial"/>
          <w:b/>
          <w:sz w:val="22"/>
          <w:szCs w:val="22"/>
        </w:rPr>
        <w:t xml:space="preserve">Criteria used for evaluating student performance and achievement including those for theses, dissertations, and portfolios, are appropriate to the degree level, clearly stated and implemented. </w:t>
      </w:r>
    </w:p>
    <w:p w:rsidR="00A71E04" w:rsidRDefault="00A71E04" w:rsidP="001B4D6A">
      <w:pPr>
        <w:rPr>
          <w:rFonts w:ascii="Arial" w:hAnsi="Arial" w:cs="Arial"/>
          <w:color w:val="000000" w:themeColor="text1"/>
          <w:sz w:val="22"/>
          <w:szCs w:val="22"/>
          <w:highlight w:val="cyan"/>
        </w:rPr>
      </w:pPr>
    </w:p>
    <w:p w:rsidR="00A71E04" w:rsidRPr="00676CA5" w:rsidRDefault="009E2C2D" w:rsidP="001B4D6A">
      <w:pPr>
        <w:rPr>
          <w:rFonts w:ascii="Arial" w:hAnsi="Arial" w:cs="Arial"/>
          <w:color w:val="000000" w:themeColor="text1"/>
          <w:sz w:val="22"/>
          <w:szCs w:val="22"/>
        </w:rPr>
      </w:pPr>
      <w:r>
        <w:rPr>
          <w:rFonts w:ascii="Arial" w:hAnsi="Arial" w:cs="Arial"/>
          <w:sz w:val="22"/>
          <w:szCs w:val="22"/>
        </w:rPr>
        <w:t>Faculty establish</w:t>
      </w:r>
      <w:r w:rsidR="00A71E04" w:rsidRPr="00C21BC4">
        <w:rPr>
          <w:rFonts w:ascii="Arial" w:hAnsi="Arial" w:cs="Arial"/>
          <w:sz w:val="22"/>
          <w:szCs w:val="22"/>
        </w:rPr>
        <w:t xml:space="preserve"> expectations for </w:t>
      </w:r>
      <w:r>
        <w:rPr>
          <w:rFonts w:ascii="Arial" w:hAnsi="Arial" w:cs="Arial"/>
          <w:sz w:val="22"/>
          <w:szCs w:val="22"/>
        </w:rPr>
        <w:t xml:space="preserve">their </w:t>
      </w:r>
      <w:r w:rsidR="00A71E04" w:rsidRPr="00C21BC4">
        <w:rPr>
          <w:rFonts w:ascii="Arial" w:hAnsi="Arial" w:cs="Arial"/>
          <w:sz w:val="22"/>
          <w:szCs w:val="22"/>
        </w:rPr>
        <w:t>specific classes and the</w:t>
      </w:r>
      <w:r w:rsidR="003E1C1C">
        <w:rPr>
          <w:rFonts w:ascii="Arial" w:hAnsi="Arial" w:cs="Arial"/>
          <w:sz w:val="22"/>
          <w:szCs w:val="22"/>
        </w:rPr>
        <w:t>n assign</w:t>
      </w:r>
      <w:r w:rsidR="00A71E04" w:rsidRPr="00C21BC4">
        <w:rPr>
          <w:rFonts w:ascii="Arial" w:hAnsi="Arial" w:cs="Arial"/>
          <w:sz w:val="22"/>
          <w:szCs w:val="22"/>
        </w:rPr>
        <w:t xml:space="preserve"> a letter grade based on those expectations.  These expectations are outlined in course</w:t>
      </w:r>
      <w:r w:rsidR="00A71E04" w:rsidRPr="007F20E7">
        <w:rPr>
          <w:rFonts w:ascii="Arial" w:hAnsi="Arial" w:cs="Arial"/>
          <w:color w:val="0070C0"/>
          <w:sz w:val="22"/>
          <w:szCs w:val="22"/>
        </w:rPr>
        <w:t xml:space="preserve"> </w:t>
      </w:r>
      <w:r w:rsidR="00A71E04" w:rsidRPr="00C21BC4">
        <w:rPr>
          <w:rFonts w:ascii="Arial" w:hAnsi="Arial" w:cs="Arial"/>
          <w:sz w:val="22"/>
          <w:szCs w:val="22"/>
        </w:rPr>
        <w:t xml:space="preserve">syllabi and adhere to the institutional grading policies (available on </w:t>
      </w:r>
      <w:r w:rsidR="00925C9C">
        <w:rPr>
          <w:rFonts w:ascii="Arial" w:hAnsi="Arial" w:cs="Arial"/>
          <w:sz w:val="22"/>
          <w:szCs w:val="22"/>
        </w:rPr>
        <w:t>p.</w:t>
      </w:r>
      <w:r w:rsidR="00A71E04" w:rsidRPr="006E6410">
        <w:rPr>
          <w:rFonts w:ascii="Arial" w:hAnsi="Arial" w:cs="Arial"/>
          <w:sz w:val="22"/>
          <w:szCs w:val="22"/>
        </w:rPr>
        <w:t xml:space="preserve"> 24 of the</w:t>
      </w:r>
      <w:r w:rsidR="00A71E04" w:rsidRPr="00C21BC4">
        <w:rPr>
          <w:rFonts w:ascii="Arial" w:hAnsi="Arial" w:cs="Arial"/>
          <w:sz w:val="22"/>
          <w:szCs w:val="22"/>
        </w:rPr>
        <w:t xml:space="preserve"> academic catalog).  These policies are in accordance with Montana Board of Regents’ Policy 301.5.3 regarding grade standards for the Montana University System.</w:t>
      </w:r>
      <w:r>
        <w:rPr>
          <w:rFonts w:ascii="Arial" w:hAnsi="Arial" w:cs="Arial"/>
          <w:sz w:val="22"/>
          <w:szCs w:val="22"/>
        </w:rPr>
        <w:t xml:space="preserve">  </w:t>
      </w:r>
      <w:r>
        <w:rPr>
          <w:rFonts w:ascii="Arial" w:hAnsi="Arial" w:cs="Arial"/>
          <w:color w:val="000000" w:themeColor="text1"/>
          <w:sz w:val="22"/>
          <w:szCs w:val="22"/>
        </w:rPr>
        <w:t>However, students wishing to appeal a</w:t>
      </w:r>
      <w:r w:rsidR="00A71E04" w:rsidRPr="00A71E04">
        <w:rPr>
          <w:rFonts w:ascii="Arial" w:hAnsi="Arial" w:cs="Arial"/>
          <w:color w:val="000000" w:themeColor="text1"/>
          <w:sz w:val="22"/>
          <w:szCs w:val="22"/>
        </w:rPr>
        <w:t xml:space="preserve"> grade can do so by following the </w:t>
      </w:r>
      <w:r w:rsidR="00A71E04" w:rsidRPr="00A71E04">
        <w:rPr>
          <w:rFonts w:ascii="Arial" w:hAnsi="Arial" w:cs="Arial"/>
          <w:i/>
          <w:color w:val="000000" w:themeColor="text1"/>
          <w:sz w:val="22"/>
          <w:szCs w:val="22"/>
          <w:u w:val="single"/>
        </w:rPr>
        <w:t>Grade Appeal</w:t>
      </w:r>
      <w:r w:rsidR="00A71E04" w:rsidRPr="00A71E04">
        <w:rPr>
          <w:rFonts w:ascii="Arial" w:hAnsi="Arial" w:cs="Arial"/>
          <w:color w:val="000000" w:themeColor="text1"/>
          <w:sz w:val="22"/>
          <w:szCs w:val="22"/>
        </w:rPr>
        <w:t xml:space="preserve"> instructio</w:t>
      </w:r>
      <w:r w:rsidR="00925C9C">
        <w:rPr>
          <w:rFonts w:ascii="Arial" w:hAnsi="Arial" w:cs="Arial"/>
          <w:color w:val="000000" w:themeColor="text1"/>
          <w:sz w:val="22"/>
          <w:szCs w:val="22"/>
        </w:rPr>
        <w:t>ns on p.</w:t>
      </w:r>
      <w:r w:rsidR="00A71E04" w:rsidRPr="00A71E04">
        <w:rPr>
          <w:rFonts w:ascii="Arial" w:hAnsi="Arial" w:cs="Arial"/>
          <w:color w:val="000000" w:themeColor="text1"/>
          <w:sz w:val="22"/>
          <w:szCs w:val="22"/>
        </w:rPr>
        <w:t xml:space="preserve"> 24 of the catalog.</w:t>
      </w:r>
    </w:p>
    <w:p w:rsidR="001E6D41" w:rsidRPr="007F72A9" w:rsidRDefault="001E6D41" w:rsidP="001B4D6A">
      <w:pPr>
        <w:rPr>
          <w:rFonts w:ascii="Arial" w:hAnsi="Arial" w:cs="Arial"/>
          <w:color w:val="0033CC"/>
          <w:sz w:val="22"/>
          <w:szCs w:val="22"/>
        </w:rPr>
      </w:pPr>
    </w:p>
    <w:p w:rsidR="00F2309E" w:rsidRPr="009E2C2D" w:rsidRDefault="00F2309E" w:rsidP="001B4D6A">
      <w:pPr>
        <w:autoSpaceDE w:val="0"/>
        <w:autoSpaceDN w:val="0"/>
        <w:adjustRightInd w:val="0"/>
        <w:rPr>
          <w:rFonts w:ascii="Arial" w:hAnsi="Arial" w:cs="Arial"/>
          <w:b/>
          <w:bCs/>
          <w:color w:val="000000"/>
          <w:sz w:val="22"/>
          <w:szCs w:val="22"/>
        </w:rPr>
      </w:pPr>
      <w:r w:rsidRPr="009E2C2D">
        <w:rPr>
          <w:rFonts w:ascii="Arial" w:hAnsi="Arial" w:cs="Arial"/>
          <w:b/>
          <w:bCs/>
          <w:color w:val="000000"/>
          <w:sz w:val="22"/>
          <w:szCs w:val="22"/>
        </w:rPr>
        <w:t>Graduate School Policies for Academic Achievement</w:t>
      </w:r>
    </w:p>
    <w:p w:rsidR="00F2309E" w:rsidRPr="00F2309E" w:rsidRDefault="00F2309E" w:rsidP="001B4D6A">
      <w:pPr>
        <w:autoSpaceDE w:val="0"/>
        <w:autoSpaceDN w:val="0"/>
        <w:adjustRightInd w:val="0"/>
        <w:rPr>
          <w:rFonts w:ascii="Arial" w:hAnsi="Arial" w:cs="Arial"/>
          <w:sz w:val="22"/>
          <w:szCs w:val="22"/>
        </w:rPr>
      </w:pPr>
    </w:p>
    <w:p w:rsidR="00F2309E" w:rsidRPr="009E2C2D" w:rsidRDefault="00F2309E" w:rsidP="001B4D6A">
      <w:pPr>
        <w:autoSpaceDE w:val="0"/>
        <w:autoSpaceDN w:val="0"/>
        <w:adjustRightInd w:val="0"/>
        <w:rPr>
          <w:rFonts w:ascii="Arial" w:hAnsi="Arial" w:cs="Arial"/>
          <w:b/>
          <w:sz w:val="22"/>
          <w:szCs w:val="22"/>
        </w:rPr>
      </w:pPr>
      <w:r w:rsidRPr="009E2C2D">
        <w:rPr>
          <w:rFonts w:ascii="Arial" w:hAnsi="Arial" w:cs="Arial"/>
          <w:b/>
          <w:sz w:val="22"/>
          <w:szCs w:val="22"/>
        </w:rPr>
        <w:t>Academic Progress</w:t>
      </w:r>
    </w:p>
    <w:p w:rsidR="00F2309E" w:rsidRPr="00F2309E" w:rsidRDefault="00F2309E" w:rsidP="001B4D6A">
      <w:pPr>
        <w:autoSpaceDE w:val="0"/>
        <w:autoSpaceDN w:val="0"/>
        <w:adjustRightInd w:val="0"/>
        <w:rPr>
          <w:rFonts w:ascii="Arial" w:hAnsi="Arial" w:cs="Arial"/>
          <w:sz w:val="22"/>
          <w:szCs w:val="22"/>
        </w:rPr>
      </w:pPr>
    </w:p>
    <w:p w:rsidR="00F2309E" w:rsidRPr="00F2309E" w:rsidRDefault="00F2309E" w:rsidP="001B4D6A">
      <w:pPr>
        <w:autoSpaceDE w:val="0"/>
        <w:autoSpaceDN w:val="0"/>
        <w:adjustRightInd w:val="0"/>
        <w:rPr>
          <w:rFonts w:ascii="Arial" w:hAnsi="Arial" w:cs="Arial"/>
          <w:sz w:val="22"/>
          <w:szCs w:val="22"/>
        </w:rPr>
      </w:pPr>
      <w:r w:rsidRPr="00F2309E">
        <w:rPr>
          <w:rFonts w:ascii="Arial" w:hAnsi="Arial" w:cs="Arial"/>
          <w:sz w:val="22"/>
          <w:szCs w:val="22"/>
        </w:rPr>
        <w:t xml:space="preserve">Continued enrollment in the Montana Tech Graduate School requires </w:t>
      </w:r>
      <w:r w:rsidR="009E2C2D">
        <w:rPr>
          <w:rFonts w:ascii="Arial" w:hAnsi="Arial" w:cs="Arial"/>
          <w:sz w:val="22"/>
          <w:szCs w:val="22"/>
        </w:rPr>
        <w:t>maintaining</w:t>
      </w:r>
      <w:r w:rsidRPr="00F2309E">
        <w:rPr>
          <w:rFonts w:ascii="Arial" w:hAnsi="Arial" w:cs="Arial"/>
          <w:sz w:val="22"/>
          <w:szCs w:val="22"/>
        </w:rPr>
        <w:t xml:space="preserve"> a 3.00 cumulative GPA (CGPA) for graduate level courses (4000 and 5000 level) and </w:t>
      </w:r>
      <w:r w:rsidR="009E2C2D">
        <w:rPr>
          <w:rFonts w:ascii="Arial" w:hAnsi="Arial" w:cs="Arial"/>
          <w:sz w:val="22"/>
          <w:szCs w:val="22"/>
        </w:rPr>
        <w:t>maintaining</w:t>
      </w:r>
      <w:r w:rsidRPr="00F2309E">
        <w:rPr>
          <w:rFonts w:ascii="Arial" w:hAnsi="Arial" w:cs="Arial"/>
          <w:sz w:val="22"/>
          <w:szCs w:val="22"/>
        </w:rPr>
        <w:t xml:space="preserve"> academic progress toward the student’s degree objectives. Any course listed in the major or minor in which a grade lower than a “C” has been received must be repeated.  Specific policies </w:t>
      </w:r>
      <w:r w:rsidR="00E63EE2" w:rsidRPr="00F2309E">
        <w:rPr>
          <w:rFonts w:ascii="Arial" w:hAnsi="Arial" w:cs="Arial"/>
          <w:sz w:val="22"/>
          <w:szCs w:val="22"/>
        </w:rPr>
        <w:t>include</w:t>
      </w:r>
      <w:r w:rsidR="00E63EE2">
        <w:rPr>
          <w:rFonts w:ascii="Arial" w:hAnsi="Arial" w:cs="Arial"/>
          <w:sz w:val="22"/>
          <w:szCs w:val="22"/>
        </w:rPr>
        <w:t>:</w:t>
      </w:r>
    </w:p>
    <w:p w:rsidR="00F2309E" w:rsidRPr="00F2309E" w:rsidRDefault="00F2309E" w:rsidP="001B4D6A">
      <w:pPr>
        <w:autoSpaceDE w:val="0"/>
        <w:autoSpaceDN w:val="0"/>
        <w:adjustRightInd w:val="0"/>
        <w:rPr>
          <w:rFonts w:ascii="Arial" w:hAnsi="Arial" w:cs="Arial"/>
          <w:sz w:val="22"/>
          <w:szCs w:val="22"/>
        </w:rPr>
      </w:pPr>
    </w:p>
    <w:p w:rsidR="00F2309E" w:rsidRPr="00F2309E" w:rsidRDefault="00F2309E" w:rsidP="001B4D6A">
      <w:pPr>
        <w:numPr>
          <w:ilvl w:val="0"/>
          <w:numId w:val="25"/>
        </w:numPr>
        <w:autoSpaceDE w:val="0"/>
        <w:autoSpaceDN w:val="0"/>
        <w:adjustRightInd w:val="0"/>
        <w:rPr>
          <w:rFonts w:ascii="Arial" w:hAnsi="Arial" w:cs="Arial"/>
          <w:sz w:val="22"/>
          <w:szCs w:val="22"/>
        </w:rPr>
      </w:pPr>
      <w:r w:rsidRPr="00F2309E">
        <w:rPr>
          <w:rFonts w:ascii="Arial" w:hAnsi="Arial" w:cs="Arial"/>
          <w:sz w:val="22"/>
          <w:szCs w:val="22"/>
        </w:rPr>
        <w:t>Failure of the student to achieve either of these conditions will result in academic probation and can result in ineligibility for financial assistance.  The student may not exceed the maximum of one semester of probation and may be suspended from Graduate School if this limit is surpassed.</w:t>
      </w:r>
    </w:p>
    <w:p w:rsidR="00F2309E" w:rsidRPr="00F2309E" w:rsidRDefault="00F2309E" w:rsidP="001B4D6A">
      <w:pPr>
        <w:autoSpaceDE w:val="0"/>
        <w:autoSpaceDN w:val="0"/>
        <w:adjustRightInd w:val="0"/>
        <w:rPr>
          <w:rFonts w:ascii="Arial" w:hAnsi="Arial" w:cs="Arial"/>
          <w:sz w:val="22"/>
          <w:szCs w:val="22"/>
        </w:rPr>
      </w:pPr>
    </w:p>
    <w:p w:rsidR="00F2309E" w:rsidRPr="00F2309E" w:rsidRDefault="00F2309E" w:rsidP="001B4D6A">
      <w:pPr>
        <w:numPr>
          <w:ilvl w:val="0"/>
          <w:numId w:val="25"/>
        </w:numPr>
        <w:autoSpaceDE w:val="0"/>
        <w:autoSpaceDN w:val="0"/>
        <w:adjustRightInd w:val="0"/>
        <w:rPr>
          <w:rFonts w:ascii="Arial" w:hAnsi="Arial" w:cs="Arial"/>
          <w:sz w:val="22"/>
          <w:szCs w:val="22"/>
        </w:rPr>
      </w:pPr>
      <w:r w:rsidRPr="00F2309E">
        <w:rPr>
          <w:rFonts w:ascii="Arial" w:hAnsi="Arial" w:cs="Arial"/>
          <w:sz w:val="22"/>
          <w:szCs w:val="22"/>
        </w:rPr>
        <w:t>Any student whose cumulative graduate level grade-point average is less than 3.0 (“B”) at the end of the semester of probation may be suspended from the Graduate School</w:t>
      </w:r>
      <w:r w:rsidR="00AA7698">
        <w:rPr>
          <w:rFonts w:ascii="Arial" w:hAnsi="Arial" w:cs="Arial"/>
          <w:sz w:val="22"/>
          <w:szCs w:val="22"/>
        </w:rPr>
        <w:t>.</w:t>
      </w:r>
      <w:r w:rsidRPr="00F2309E">
        <w:rPr>
          <w:rFonts w:ascii="Arial" w:hAnsi="Arial" w:cs="Arial"/>
          <w:sz w:val="22"/>
          <w:szCs w:val="22"/>
        </w:rPr>
        <w:t xml:space="preserve"> </w:t>
      </w:r>
    </w:p>
    <w:p w:rsidR="00F2309E" w:rsidRPr="00F2309E" w:rsidRDefault="00F2309E" w:rsidP="001B4D6A">
      <w:pPr>
        <w:autoSpaceDE w:val="0"/>
        <w:autoSpaceDN w:val="0"/>
        <w:adjustRightInd w:val="0"/>
        <w:rPr>
          <w:rFonts w:ascii="Arial" w:hAnsi="Arial" w:cs="Arial"/>
          <w:sz w:val="22"/>
          <w:szCs w:val="22"/>
        </w:rPr>
      </w:pPr>
    </w:p>
    <w:p w:rsidR="00F2309E" w:rsidRPr="00F2309E" w:rsidRDefault="00F2309E" w:rsidP="001B4D6A">
      <w:pPr>
        <w:numPr>
          <w:ilvl w:val="0"/>
          <w:numId w:val="25"/>
        </w:num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A Master of Science degree program must be completed within 6 calendar years dating from the student’s formal entrance into a degree-seeking program. </w:t>
      </w:r>
    </w:p>
    <w:p w:rsidR="00F2309E" w:rsidRPr="00F2309E" w:rsidRDefault="00F2309E" w:rsidP="001B4D6A">
      <w:pPr>
        <w:autoSpaceDE w:val="0"/>
        <w:autoSpaceDN w:val="0"/>
        <w:adjustRightInd w:val="0"/>
        <w:rPr>
          <w:rFonts w:ascii="Arial" w:hAnsi="Arial" w:cs="Arial"/>
          <w:color w:val="000000"/>
          <w:sz w:val="22"/>
          <w:szCs w:val="22"/>
        </w:rPr>
      </w:pPr>
    </w:p>
    <w:p w:rsidR="00F2309E" w:rsidRPr="009E2C2D" w:rsidRDefault="00F2309E" w:rsidP="001B4D6A">
      <w:pPr>
        <w:autoSpaceDE w:val="0"/>
        <w:autoSpaceDN w:val="0"/>
        <w:adjustRightInd w:val="0"/>
        <w:rPr>
          <w:rFonts w:ascii="Arial" w:hAnsi="Arial" w:cs="Arial"/>
          <w:b/>
          <w:bCs/>
          <w:color w:val="000000"/>
          <w:sz w:val="22"/>
          <w:szCs w:val="22"/>
        </w:rPr>
      </w:pPr>
      <w:r w:rsidRPr="009E2C2D">
        <w:rPr>
          <w:rFonts w:ascii="Arial" w:hAnsi="Arial" w:cs="Arial"/>
          <w:b/>
          <w:bCs/>
          <w:color w:val="000000"/>
          <w:sz w:val="22"/>
          <w:szCs w:val="22"/>
        </w:rPr>
        <w:t>Supervision of the Master</w:t>
      </w:r>
      <w:r w:rsidR="00732BCB" w:rsidRPr="009E2C2D">
        <w:rPr>
          <w:rFonts w:ascii="Arial" w:hAnsi="Arial" w:cs="Arial"/>
          <w:b/>
          <w:bCs/>
          <w:color w:val="000000"/>
          <w:sz w:val="22"/>
          <w:szCs w:val="22"/>
        </w:rPr>
        <w:t>’</w:t>
      </w:r>
      <w:r w:rsidRPr="009E2C2D">
        <w:rPr>
          <w:rFonts w:ascii="Arial" w:hAnsi="Arial" w:cs="Arial"/>
          <w:b/>
          <w:bCs/>
          <w:color w:val="000000"/>
          <w:sz w:val="22"/>
          <w:szCs w:val="22"/>
        </w:rPr>
        <w:t>s Program – Graduate Committee</w:t>
      </w:r>
    </w:p>
    <w:p w:rsidR="00F2309E" w:rsidRPr="00F2309E" w:rsidRDefault="00F2309E" w:rsidP="001B4D6A">
      <w:pPr>
        <w:autoSpaceDE w:val="0"/>
        <w:autoSpaceDN w:val="0"/>
        <w:adjustRightInd w:val="0"/>
        <w:rPr>
          <w:rFonts w:ascii="Arial" w:hAnsi="Arial" w:cs="Arial"/>
          <w:b/>
          <w:bCs/>
          <w:color w:val="000000"/>
          <w:sz w:val="22"/>
          <w:szCs w:val="22"/>
          <w:u w:val="single"/>
        </w:rPr>
      </w:pPr>
    </w:p>
    <w:p w:rsidR="00F2309E" w:rsidRP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Each incoming graduate student will be assigned a graduate advisor by the student’s home department. This advisor w</w:t>
      </w:r>
      <w:r w:rsidR="009E2C2D">
        <w:rPr>
          <w:rFonts w:ascii="Arial" w:hAnsi="Arial" w:cs="Arial"/>
          <w:color w:val="000000"/>
          <w:sz w:val="22"/>
          <w:szCs w:val="22"/>
        </w:rPr>
        <w:t>ill be responsible for helping the student to</w:t>
      </w:r>
      <w:r w:rsidR="00B83456">
        <w:rPr>
          <w:rFonts w:ascii="Arial" w:hAnsi="Arial" w:cs="Arial"/>
          <w:color w:val="000000"/>
          <w:sz w:val="22"/>
          <w:szCs w:val="22"/>
        </w:rPr>
        <w:t xml:space="preserve"> design</w:t>
      </w:r>
      <w:r w:rsidRPr="00F2309E">
        <w:rPr>
          <w:rFonts w:ascii="Arial" w:hAnsi="Arial" w:cs="Arial"/>
          <w:color w:val="000000"/>
          <w:sz w:val="22"/>
          <w:szCs w:val="22"/>
        </w:rPr>
        <w:t xml:space="preserve"> a program of study until </w:t>
      </w:r>
      <w:r w:rsidR="00B83456">
        <w:rPr>
          <w:rFonts w:ascii="Arial" w:hAnsi="Arial" w:cs="Arial"/>
          <w:color w:val="000000"/>
          <w:sz w:val="22"/>
          <w:szCs w:val="22"/>
        </w:rPr>
        <w:t xml:space="preserve">such time that </w:t>
      </w:r>
      <w:r w:rsidRPr="00F2309E">
        <w:rPr>
          <w:rFonts w:ascii="Arial" w:hAnsi="Arial" w:cs="Arial"/>
          <w:color w:val="000000"/>
          <w:sz w:val="22"/>
          <w:szCs w:val="22"/>
        </w:rPr>
        <w:t>the student selects a permanent Graduate Committee.</w:t>
      </w:r>
    </w:p>
    <w:p w:rsidR="00F2309E" w:rsidRPr="00F2309E" w:rsidRDefault="00F2309E" w:rsidP="001B4D6A">
      <w:pPr>
        <w:autoSpaceDE w:val="0"/>
        <w:autoSpaceDN w:val="0"/>
        <w:adjustRightInd w:val="0"/>
        <w:rPr>
          <w:rFonts w:ascii="Arial" w:hAnsi="Arial" w:cs="Arial"/>
          <w:color w:val="000000"/>
          <w:sz w:val="22"/>
          <w:szCs w:val="22"/>
        </w:rPr>
      </w:pPr>
    </w:p>
    <w:p w:rsidR="001B7E21" w:rsidRPr="00F82DF2" w:rsidRDefault="00B83456" w:rsidP="001B4D6A">
      <w:pPr>
        <w:autoSpaceDE w:val="0"/>
        <w:autoSpaceDN w:val="0"/>
        <w:adjustRightInd w:val="0"/>
        <w:rPr>
          <w:rFonts w:ascii="Arial" w:hAnsi="Arial" w:cs="Arial"/>
          <w:color w:val="000000"/>
          <w:sz w:val="22"/>
          <w:szCs w:val="22"/>
        </w:rPr>
      </w:pPr>
      <w:r>
        <w:rPr>
          <w:rFonts w:ascii="Arial" w:hAnsi="Arial" w:cs="Arial"/>
          <w:color w:val="000000"/>
          <w:sz w:val="22"/>
          <w:szCs w:val="22"/>
        </w:rPr>
        <w:t>Once selected, t</w:t>
      </w:r>
      <w:r w:rsidR="00F2309E" w:rsidRPr="00F2309E">
        <w:rPr>
          <w:rFonts w:ascii="Arial" w:hAnsi="Arial" w:cs="Arial"/>
          <w:color w:val="000000"/>
          <w:sz w:val="22"/>
          <w:szCs w:val="22"/>
        </w:rPr>
        <w:t>he Graduate Co</w:t>
      </w:r>
      <w:r>
        <w:rPr>
          <w:rFonts w:ascii="Arial" w:hAnsi="Arial" w:cs="Arial"/>
          <w:color w:val="000000"/>
          <w:sz w:val="22"/>
          <w:szCs w:val="22"/>
        </w:rPr>
        <w:t>mmittee advises</w:t>
      </w:r>
      <w:r w:rsidR="00F2309E" w:rsidRPr="00F2309E">
        <w:rPr>
          <w:rFonts w:ascii="Arial" w:hAnsi="Arial" w:cs="Arial"/>
          <w:color w:val="000000"/>
          <w:sz w:val="22"/>
          <w:szCs w:val="22"/>
        </w:rPr>
        <w:t xml:space="preserve"> the student on all aca</w:t>
      </w:r>
      <w:r w:rsidR="00F82DF2">
        <w:rPr>
          <w:rFonts w:ascii="Arial" w:hAnsi="Arial" w:cs="Arial"/>
          <w:color w:val="000000"/>
          <w:sz w:val="22"/>
          <w:szCs w:val="22"/>
        </w:rPr>
        <w:t>demic and research matters,</w:t>
      </w:r>
      <w:r w:rsidR="00F2309E" w:rsidRPr="00F2309E">
        <w:rPr>
          <w:rFonts w:ascii="Arial" w:hAnsi="Arial" w:cs="Arial"/>
          <w:color w:val="000000"/>
          <w:sz w:val="22"/>
          <w:szCs w:val="22"/>
        </w:rPr>
        <w:t xml:space="preserve"> assist</w:t>
      </w:r>
      <w:r w:rsidR="00F82DF2">
        <w:rPr>
          <w:rFonts w:ascii="Arial" w:hAnsi="Arial" w:cs="Arial"/>
          <w:color w:val="000000"/>
          <w:sz w:val="22"/>
          <w:szCs w:val="22"/>
        </w:rPr>
        <w:t>s</w:t>
      </w:r>
      <w:r w:rsidR="00F2309E" w:rsidRPr="00F2309E">
        <w:rPr>
          <w:rFonts w:ascii="Arial" w:hAnsi="Arial" w:cs="Arial"/>
          <w:color w:val="000000"/>
          <w:sz w:val="22"/>
          <w:szCs w:val="22"/>
        </w:rPr>
        <w:t xml:space="preserve"> the student in formulating a program of study leading to the master’s degree, and serve</w:t>
      </w:r>
      <w:r w:rsidR="00F82DF2">
        <w:rPr>
          <w:rFonts w:ascii="Arial" w:hAnsi="Arial" w:cs="Arial"/>
          <w:color w:val="000000"/>
          <w:sz w:val="22"/>
          <w:szCs w:val="22"/>
        </w:rPr>
        <w:t>s on</w:t>
      </w:r>
      <w:r w:rsidR="00F2309E" w:rsidRPr="00F2309E">
        <w:rPr>
          <w:rFonts w:ascii="Arial" w:hAnsi="Arial" w:cs="Arial"/>
          <w:color w:val="000000"/>
          <w:sz w:val="22"/>
          <w:szCs w:val="22"/>
        </w:rPr>
        <w:t xml:space="preserve"> the student’s examining committee.  The Chai</w:t>
      </w:r>
      <w:r w:rsidR="00F82DF2">
        <w:rPr>
          <w:rFonts w:ascii="Arial" w:hAnsi="Arial" w:cs="Arial"/>
          <w:color w:val="000000"/>
          <w:sz w:val="22"/>
          <w:szCs w:val="22"/>
        </w:rPr>
        <w:t>r of the Graduate Committee is</w:t>
      </w:r>
      <w:r w:rsidR="00F2309E" w:rsidRPr="00F2309E">
        <w:rPr>
          <w:rFonts w:ascii="Arial" w:hAnsi="Arial" w:cs="Arial"/>
          <w:color w:val="000000"/>
          <w:sz w:val="22"/>
          <w:szCs w:val="22"/>
        </w:rPr>
        <w:t xml:space="preserve"> </w:t>
      </w:r>
      <w:r w:rsidR="00F2309E" w:rsidRPr="00F2309E">
        <w:rPr>
          <w:rFonts w:ascii="Arial" w:hAnsi="Arial" w:cs="Arial"/>
          <w:color w:val="000000"/>
          <w:sz w:val="22"/>
          <w:szCs w:val="22"/>
        </w:rPr>
        <w:lastRenderedPageBreak/>
        <w:t xml:space="preserve">selected by the student and </w:t>
      </w:r>
      <w:r w:rsidR="00F82DF2">
        <w:rPr>
          <w:rFonts w:ascii="Arial" w:hAnsi="Arial" w:cs="Arial"/>
          <w:color w:val="000000"/>
          <w:sz w:val="22"/>
          <w:szCs w:val="22"/>
        </w:rPr>
        <w:t xml:space="preserve">is </w:t>
      </w:r>
      <w:r w:rsidR="00F2309E" w:rsidRPr="00F2309E">
        <w:rPr>
          <w:rFonts w:ascii="Arial" w:hAnsi="Arial" w:cs="Arial"/>
          <w:color w:val="000000"/>
          <w:sz w:val="22"/>
          <w:szCs w:val="22"/>
        </w:rPr>
        <w:t>responsible for approving the student’s program of academic study and research.  The Graduate Com</w:t>
      </w:r>
      <w:r w:rsidR="00F82DF2">
        <w:rPr>
          <w:rFonts w:ascii="Arial" w:hAnsi="Arial" w:cs="Arial"/>
          <w:color w:val="000000"/>
          <w:sz w:val="22"/>
          <w:szCs w:val="22"/>
        </w:rPr>
        <w:t>mittee</w:t>
      </w:r>
      <w:r w:rsidR="00F2309E" w:rsidRPr="00F2309E">
        <w:rPr>
          <w:rFonts w:ascii="Arial" w:hAnsi="Arial" w:cs="Arial"/>
          <w:color w:val="000000"/>
          <w:sz w:val="22"/>
          <w:szCs w:val="22"/>
        </w:rPr>
        <w:t xml:space="preserve"> consist</w:t>
      </w:r>
      <w:r w:rsidR="00F82DF2">
        <w:rPr>
          <w:rFonts w:ascii="Arial" w:hAnsi="Arial" w:cs="Arial"/>
          <w:color w:val="000000"/>
          <w:sz w:val="22"/>
          <w:szCs w:val="22"/>
        </w:rPr>
        <w:t>s</w:t>
      </w:r>
      <w:r w:rsidR="00F2309E" w:rsidRPr="00F2309E">
        <w:rPr>
          <w:rFonts w:ascii="Arial" w:hAnsi="Arial" w:cs="Arial"/>
          <w:color w:val="000000"/>
          <w:sz w:val="22"/>
          <w:szCs w:val="22"/>
        </w:rPr>
        <w:t xml:space="preserve"> of </w:t>
      </w:r>
      <w:r w:rsidR="00F2309E" w:rsidRPr="00B83456">
        <w:rPr>
          <w:rFonts w:ascii="Arial" w:hAnsi="Arial" w:cs="Arial"/>
          <w:sz w:val="22"/>
          <w:szCs w:val="22"/>
        </w:rPr>
        <w:t>two members f</w:t>
      </w:r>
      <w:r>
        <w:rPr>
          <w:rFonts w:ascii="Arial" w:hAnsi="Arial" w:cs="Arial"/>
          <w:sz w:val="22"/>
          <w:szCs w:val="22"/>
        </w:rPr>
        <w:t>rom the student’s major program and</w:t>
      </w:r>
      <w:r w:rsidR="00F2309E" w:rsidRPr="00B83456">
        <w:rPr>
          <w:rFonts w:ascii="Arial" w:hAnsi="Arial" w:cs="Arial"/>
          <w:sz w:val="22"/>
          <w:szCs w:val="22"/>
        </w:rPr>
        <w:t xml:space="preserve"> one from a minor program (if applic</w:t>
      </w:r>
      <w:r>
        <w:rPr>
          <w:rFonts w:ascii="Arial" w:hAnsi="Arial" w:cs="Arial"/>
          <w:sz w:val="22"/>
          <w:szCs w:val="22"/>
        </w:rPr>
        <w:t>able).</w:t>
      </w:r>
      <w:r w:rsidR="00021DCE" w:rsidRPr="00B83456">
        <w:rPr>
          <w:rFonts w:ascii="Arial" w:hAnsi="Arial" w:cs="Arial"/>
          <w:sz w:val="22"/>
          <w:szCs w:val="22"/>
        </w:rPr>
        <w:t xml:space="preserve"> </w:t>
      </w:r>
      <w:r>
        <w:rPr>
          <w:rFonts w:ascii="Arial" w:hAnsi="Arial" w:cs="Arial"/>
          <w:sz w:val="22"/>
          <w:szCs w:val="22"/>
        </w:rPr>
        <w:t xml:space="preserve"> T</w:t>
      </w:r>
      <w:r w:rsidR="00021DCE" w:rsidRPr="00B83456">
        <w:rPr>
          <w:rFonts w:ascii="Arial" w:hAnsi="Arial" w:cs="Arial"/>
          <w:sz w:val="22"/>
          <w:szCs w:val="22"/>
        </w:rPr>
        <w:t xml:space="preserve">he Chair and </w:t>
      </w:r>
      <w:r>
        <w:rPr>
          <w:rFonts w:ascii="Arial" w:hAnsi="Arial" w:cs="Arial"/>
          <w:sz w:val="22"/>
          <w:szCs w:val="22"/>
        </w:rPr>
        <w:t xml:space="preserve">the </w:t>
      </w:r>
      <w:r w:rsidR="00021DCE" w:rsidRPr="00B83456">
        <w:rPr>
          <w:rFonts w:ascii="Arial" w:hAnsi="Arial" w:cs="Arial"/>
          <w:sz w:val="22"/>
          <w:szCs w:val="22"/>
        </w:rPr>
        <w:t>student select one memb</w:t>
      </w:r>
      <w:r w:rsidR="003E1C1C">
        <w:rPr>
          <w:rFonts w:ascii="Arial" w:hAnsi="Arial" w:cs="Arial"/>
          <w:sz w:val="22"/>
          <w:szCs w:val="22"/>
        </w:rPr>
        <w:t>er to the Graduate Committee fro</w:t>
      </w:r>
      <w:r w:rsidR="00021DCE" w:rsidRPr="00B83456">
        <w:rPr>
          <w:rFonts w:ascii="Arial" w:hAnsi="Arial" w:cs="Arial"/>
          <w:sz w:val="22"/>
          <w:szCs w:val="22"/>
        </w:rPr>
        <w:t>m outside the student’s home department</w:t>
      </w:r>
      <w:r>
        <w:rPr>
          <w:rFonts w:ascii="Arial" w:hAnsi="Arial" w:cs="Arial"/>
          <w:sz w:val="22"/>
          <w:szCs w:val="22"/>
        </w:rPr>
        <w:t xml:space="preserve">. </w:t>
      </w:r>
      <w:r w:rsidR="00F2309E" w:rsidRPr="00B83456">
        <w:rPr>
          <w:rFonts w:ascii="Arial" w:hAnsi="Arial" w:cs="Arial"/>
          <w:sz w:val="22"/>
          <w:szCs w:val="22"/>
        </w:rPr>
        <w:t xml:space="preserve"> </w:t>
      </w:r>
      <w:r w:rsidRPr="00B83456">
        <w:rPr>
          <w:rFonts w:ascii="Arial" w:hAnsi="Arial" w:cs="Arial"/>
          <w:sz w:val="22"/>
          <w:szCs w:val="22"/>
        </w:rPr>
        <w:t>Voting</w:t>
      </w:r>
      <w:r w:rsidR="00F2309E" w:rsidRPr="00B83456">
        <w:rPr>
          <w:rFonts w:ascii="Arial" w:hAnsi="Arial" w:cs="Arial"/>
          <w:sz w:val="22"/>
          <w:szCs w:val="22"/>
        </w:rPr>
        <w:t xml:space="preserve"> members must have at least a </w:t>
      </w:r>
      <w:r w:rsidR="00732BCB" w:rsidRPr="00B83456">
        <w:rPr>
          <w:rFonts w:ascii="Arial" w:hAnsi="Arial" w:cs="Arial"/>
          <w:sz w:val="22"/>
          <w:szCs w:val="22"/>
        </w:rPr>
        <w:t>m</w:t>
      </w:r>
      <w:r w:rsidR="00F2309E" w:rsidRPr="00B83456">
        <w:rPr>
          <w:rFonts w:ascii="Arial" w:hAnsi="Arial" w:cs="Arial"/>
          <w:sz w:val="22"/>
          <w:szCs w:val="22"/>
        </w:rPr>
        <w:t>aster’s degree.</w:t>
      </w:r>
    </w:p>
    <w:p w:rsidR="00732BCB" w:rsidRPr="00B83456" w:rsidRDefault="00732BCB" w:rsidP="001B4D6A">
      <w:pPr>
        <w:autoSpaceDE w:val="0"/>
        <w:autoSpaceDN w:val="0"/>
        <w:adjustRightInd w:val="0"/>
        <w:rPr>
          <w:rFonts w:ascii="Arial" w:hAnsi="Arial" w:cs="Arial"/>
          <w:b/>
          <w:bCs/>
          <w:color w:val="000000"/>
          <w:sz w:val="22"/>
          <w:szCs w:val="22"/>
        </w:rPr>
      </w:pPr>
    </w:p>
    <w:p w:rsidR="00F2309E" w:rsidRPr="00B83456" w:rsidRDefault="00F2309E" w:rsidP="001B4D6A">
      <w:pPr>
        <w:autoSpaceDE w:val="0"/>
        <w:autoSpaceDN w:val="0"/>
        <w:adjustRightInd w:val="0"/>
        <w:rPr>
          <w:rFonts w:ascii="Arial" w:hAnsi="Arial" w:cs="Arial"/>
          <w:b/>
          <w:bCs/>
          <w:color w:val="000000"/>
          <w:sz w:val="22"/>
          <w:szCs w:val="22"/>
        </w:rPr>
      </w:pPr>
      <w:r w:rsidRPr="00B83456">
        <w:rPr>
          <w:rFonts w:ascii="Arial" w:hAnsi="Arial" w:cs="Arial"/>
          <w:b/>
          <w:bCs/>
          <w:color w:val="000000"/>
          <w:sz w:val="22"/>
          <w:szCs w:val="22"/>
        </w:rPr>
        <w:t>Thesis Preparation and Review</w:t>
      </w:r>
    </w:p>
    <w:p w:rsidR="00F2309E" w:rsidRPr="00F2309E" w:rsidRDefault="00F2309E" w:rsidP="001B4D6A">
      <w:pPr>
        <w:autoSpaceDE w:val="0"/>
        <w:autoSpaceDN w:val="0"/>
        <w:adjustRightInd w:val="0"/>
        <w:rPr>
          <w:rFonts w:ascii="Arial" w:hAnsi="Arial" w:cs="Arial"/>
          <w:b/>
          <w:bCs/>
          <w:color w:val="000000"/>
          <w:sz w:val="22"/>
          <w:szCs w:val="22"/>
          <w:u w:val="single"/>
        </w:rPr>
      </w:pPr>
    </w:p>
    <w:p w:rsid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The Montana Tech Graduate School offers two thesis options.  Option A is the classical research-oriented degree and is particularly recommended for students whose educational and professional goals make early research </w:t>
      </w:r>
      <w:r w:rsidR="00732BCB">
        <w:rPr>
          <w:rFonts w:ascii="Arial" w:hAnsi="Arial" w:cs="Arial"/>
          <w:color w:val="000000"/>
          <w:sz w:val="22"/>
          <w:szCs w:val="22"/>
        </w:rPr>
        <w:t>experience desirable.   Option B</w:t>
      </w:r>
      <w:r w:rsidRPr="00F2309E">
        <w:rPr>
          <w:rFonts w:ascii="Arial" w:hAnsi="Arial" w:cs="Arial"/>
          <w:color w:val="000000"/>
          <w:sz w:val="22"/>
          <w:szCs w:val="22"/>
        </w:rPr>
        <w:t xml:space="preserve"> </w:t>
      </w:r>
      <w:r w:rsidR="00B83456">
        <w:rPr>
          <w:rFonts w:ascii="Arial" w:hAnsi="Arial" w:cs="Arial"/>
          <w:color w:val="000000"/>
          <w:sz w:val="22"/>
          <w:szCs w:val="22"/>
        </w:rPr>
        <w:t xml:space="preserve">(non-thesis) </w:t>
      </w:r>
      <w:r w:rsidRPr="00F2309E">
        <w:rPr>
          <w:rFonts w:ascii="Arial" w:hAnsi="Arial" w:cs="Arial"/>
          <w:color w:val="000000"/>
          <w:sz w:val="22"/>
          <w:szCs w:val="22"/>
        </w:rPr>
        <w:t>may take two forms</w:t>
      </w:r>
      <w:r w:rsidR="00AA7698">
        <w:rPr>
          <w:rFonts w:ascii="Arial" w:hAnsi="Arial" w:cs="Arial"/>
          <w:color w:val="000000"/>
          <w:sz w:val="22"/>
          <w:szCs w:val="22"/>
        </w:rPr>
        <w:t>:</w:t>
      </w:r>
    </w:p>
    <w:p w:rsidR="003C173F" w:rsidRPr="00F2309E" w:rsidRDefault="003C173F" w:rsidP="001B4D6A">
      <w:pPr>
        <w:autoSpaceDE w:val="0"/>
        <w:autoSpaceDN w:val="0"/>
        <w:adjustRightInd w:val="0"/>
        <w:rPr>
          <w:rFonts w:ascii="Arial" w:hAnsi="Arial" w:cs="Arial"/>
          <w:color w:val="000000"/>
          <w:sz w:val="22"/>
          <w:szCs w:val="22"/>
        </w:rPr>
      </w:pPr>
    </w:p>
    <w:p w:rsidR="00F2309E" w:rsidRPr="00F2309E" w:rsidRDefault="00B83456" w:rsidP="001B4D6A">
      <w:pPr>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The student may choose to do a</w:t>
      </w:r>
      <w:r w:rsidR="00F2309E" w:rsidRPr="00F2309E">
        <w:rPr>
          <w:rFonts w:ascii="Arial" w:hAnsi="Arial" w:cs="Arial"/>
          <w:color w:val="000000"/>
          <w:sz w:val="22"/>
          <w:szCs w:val="22"/>
        </w:rPr>
        <w:t>n individually written thesis</w:t>
      </w:r>
      <w:r>
        <w:rPr>
          <w:rFonts w:ascii="Arial" w:hAnsi="Arial" w:cs="Arial"/>
          <w:color w:val="000000"/>
          <w:sz w:val="22"/>
          <w:szCs w:val="22"/>
        </w:rPr>
        <w:t xml:space="preserve"> based on original research. This</w:t>
      </w:r>
      <w:r w:rsidR="00F2309E" w:rsidRPr="00F2309E">
        <w:rPr>
          <w:rFonts w:ascii="Arial" w:hAnsi="Arial" w:cs="Arial"/>
          <w:color w:val="000000"/>
          <w:sz w:val="22"/>
          <w:szCs w:val="22"/>
        </w:rPr>
        <w:t xml:space="preserve"> thesis should represent an effort of such quality and construction that it can be displayed in the school library with similar scholarly works. The thesis is written under the direction of the committee chair, but the student is encouraged to seek guidan</w:t>
      </w:r>
      <w:r w:rsidR="00732BCB">
        <w:rPr>
          <w:rFonts w:ascii="Arial" w:hAnsi="Arial" w:cs="Arial"/>
          <w:color w:val="000000"/>
          <w:sz w:val="22"/>
          <w:szCs w:val="22"/>
        </w:rPr>
        <w:t>ce from all members of his/her graduate c</w:t>
      </w:r>
      <w:r w:rsidR="00F2309E" w:rsidRPr="00F2309E">
        <w:rPr>
          <w:rFonts w:ascii="Arial" w:hAnsi="Arial" w:cs="Arial"/>
          <w:color w:val="000000"/>
          <w:sz w:val="22"/>
          <w:szCs w:val="22"/>
        </w:rPr>
        <w:t>ommittee.</w:t>
      </w:r>
    </w:p>
    <w:p w:rsidR="00F2309E" w:rsidRPr="00F2309E" w:rsidRDefault="00F2309E" w:rsidP="001B4D6A">
      <w:pPr>
        <w:autoSpaceDE w:val="0"/>
        <w:autoSpaceDN w:val="0"/>
        <w:adjustRightInd w:val="0"/>
        <w:rPr>
          <w:rFonts w:ascii="Arial" w:hAnsi="Arial" w:cs="Arial"/>
          <w:color w:val="000000"/>
          <w:sz w:val="22"/>
          <w:szCs w:val="22"/>
        </w:rPr>
      </w:pPr>
    </w:p>
    <w:p w:rsidR="00F2309E" w:rsidRPr="00F2309E" w:rsidRDefault="00F2309E" w:rsidP="001B4D6A">
      <w:pPr>
        <w:numPr>
          <w:ilvl w:val="0"/>
          <w:numId w:val="26"/>
        </w:num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The student, </w:t>
      </w:r>
      <w:r w:rsidR="00732BCB">
        <w:rPr>
          <w:rFonts w:ascii="Arial" w:hAnsi="Arial" w:cs="Arial"/>
          <w:color w:val="000000"/>
          <w:sz w:val="22"/>
          <w:szCs w:val="22"/>
        </w:rPr>
        <w:t>with approval of the student’s g</w:t>
      </w:r>
      <w:r w:rsidRPr="00F2309E">
        <w:rPr>
          <w:rFonts w:ascii="Arial" w:hAnsi="Arial" w:cs="Arial"/>
          <w:color w:val="000000"/>
          <w:sz w:val="22"/>
          <w:szCs w:val="22"/>
        </w:rPr>
        <w:t xml:space="preserve">raduate committee, may elect to write a </w:t>
      </w:r>
      <w:r w:rsidR="00B83456">
        <w:rPr>
          <w:rFonts w:ascii="Arial" w:hAnsi="Arial" w:cs="Arial"/>
          <w:color w:val="000000"/>
          <w:sz w:val="22"/>
          <w:szCs w:val="22"/>
        </w:rPr>
        <w:t xml:space="preserve">professional </w:t>
      </w:r>
      <w:r w:rsidRPr="00F2309E">
        <w:rPr>
          <w:rFonts w:ascii="Arial" w:hAnsi="Arial" w:cs="Arial"/>
          <w:color w:val="000000"/>
          <w:sz w:val="22"/>
          <w:szCs w:val="22"/>
        </w:rPr>
        <w:t>paper for publication in lieu of a traditional thesis. The paper should be of acceptable quality for publication in a peer-reviewed journal and will be submitted to the journal for publication.</w:t>
      </w:r>
    </w:p>
    <w:p w:rsidR="00F2309E" w:rsidRPr="00F2309E" w:rsidRDefault="00F2309E" w:rsidP="001B4D6A">
      <w:pPr>
        <w:tabs>
          <w:tab w:val="left" w:pos="2295"/>
        </w:tabs>
        <w:autoSpaceDE w:val="0"/>
        <w:autoSpaceDN w:val="0"/>
        <w:adjustRightInd w:val="0"/>
        <w:rPr>
          <w:rFonts w:ascii="Arial" w:hAnsi="Arial" w:cs="Arial"/>
          <w:color w:val="000000"/>
          <w:sz w:val="22"/>
          <w:szCs w:val="22"/>
        </w:rPr>
      </w:pPr>
      <w:r w:rsidRPr="00F2309E">
        <w:rPr>
          <w:rFonts w:ascii="Arial" w:hAnsi="Arial" w:cs="Arial"/>
          <w:color w:val="000000"/>
          <w:sz w:val="22"/>
          <w:szCs w:val="22"/>
        </w:rPr>
        <w:tab/>
      </w:r>
    </w:p>
    <w:p w:rsid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In some study areas, a student needs more course work beyond the baccalaureate degree before attempting original research. In such fields, Option B allows the student to defer original research until a doctoral program. Also, for students with an advanced degree or terminal degree, a thesis program may unnecessarily repeat a process that the student has already mastered. Under this option, course work is substituted for the thesis requirement</w:t>
      </w:r>
    </w:p>
    <w:p w:rsidR="00176306" w:rsidRDefault="00176306" w:rsidP="001B4D6A">
      <w:pPr>
        <w:autoSpaceDE w:val="0"/>
        <w:autoSpaceDN w:val="0"/>
        <w:adjustRightInd w:val="0"/>
        <w:rPr>
          <w:rFonts w:ascii="Arial" w:hAnsi="Arial" w:cs="Arial"/>
          <w:b/>
          <w:bCs/>
          <w:color w:val="000000"/>
          <w:sz w:val="22"/>
          <w:szCs w:val="22"/>
        </w:rPr>
      </w:pPr>
    </w:p>
    <w:p w:rsidR="00F2309E" w:rsidRPr="00B83456" w:rsidRDefault="00F2309E" w:rsidP="001B4D6A">
      <w:pPr>
        <w:autoSpaceDE w:val="0"/>
        <w:autoSpaceDN w:val="0"/>
        <w:adjustRightInd w:val="0"/>
        <w:rPr>
          <w:rFonts w:ascii="Arial" w:hAnsi="Arial" w:cs="Arial"/>
          <w:b/>
          <w:bCs/>
          <w:color w:val="000000"/>
          <w:sz w:val="22"/>
          <w:szCs w:val="22"/>
        </w:rPr>
      </w:pPr>
      <w:r w:rsidRPr="00B83456">
        <w:rPr>
          <w:rFonts w:ascii="Arial" w:hAnsi="Arial" w:cs="Arial"/>
          <w:b/>
          <w:bCs/>
          <w:color w:val="000000"/>
          <w:sz w:val="22"/>
          <w:szCs w:val="22"/>
        </w:rPr>
        <w:t>Final Examination/Thesis Defense</w:t>
      </w:r>
    </w:p>
    <w:p w:rsidR="00F2309E" w:rsidRPr="00B83456" w:rsidRDefault="00F2309E" w:rsidP="001B4D6A">
      <w:pPr>
        <w:autoSpaceDE w:val="0"/>
        <w:autoSpaceDN w:val="0"/>
        <w:adjustRightInd w:val="0"/>
        <w:rPr>
          <w:rFonts w:ascii="Arial" w:hAnsi="Arial" w:cs="Arial"/>
          <w:b/>
          <w:bCs/>
          <w:color w:val="000000"/>
          <w:sz w:val="22"/>
          <w:szCs w:val="22"/>
        </w:rPr>
      </w:pPr>
    </w:p>
    <w:p w:rsid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All Master of Science degree candidates will be given a final examination covering course material. In addition</w:t>
      </w:r>
      <w:r w:rsidR="00FD6655">
        <w:rPr>
          <w:rFonts w:ascii="Arial" w:hAnsi="Arial" w:cs="Arial"/>
          <w:color w:val="000000"/>
          <w:sz w:val="22"/>
          <w:szCs w:val="22"/>
        </w:rPr>
        <w:t>:</w:t>
      </w:r>
    </w:p>
    <w:p w:rsidR="00FD6655" w:rsidRPr="00F2309E" w:rsidRDefault="00FD6655" w:rsidP="001B4D6A">
      <w:pPr>
        <w:autoSpaceDE w:val="0"/>
        <w:autoSpaceDN w:val="0"/>
        <w:adjustRightInd w:val="0"/>
        <w:rPr>
          <w:rFonts w:ascii="Arial" w:hAnsi="Arial" w:cs="Arial"/>
          <w:color w:val="000000"/>
          <w:sz w:val="22"/>
          <w:szCs w:val="22"/>
        </w:rPr>
      </w:pPr>
    </w:p>
    <w:p w:rsidR="00F2309E" w:rsidRPr="00F2309E" w:rsidRDefault="00F2309E" w:rsidP="001B4D6A">
      <w:pPr>
        <w:numPr>
          <w:ilvl w:val="0"/>
          <w:numId w:val="27"/>
        </w:numPr>
        <w:autoSpaceDE w:val="0"/>
        <w:autoSpaceDN w:val="0"/>
        <w:adjustRightInd w:val="0"/>
        <w:rPr>
          <w:rFonts w:ascii="Arial" w:hAnsi="Arial" w:cs="Arial"/>
          <w:color w:val="000000"/>
          <w:sz w:val="22"/>
          <w:szCs w:val="22"/>
        </w:rPr>
      </w:pPr>
      <w:r w:rsidRPr="00F2309E">
        <w:rPr>
          <w:rFonts w:ascii="Arial" w:hAnsi="Arial" w:cs="Arial"/>
          <w:color w:val="000000"/>
          <w:sz w:val="22"/>
          <w:szCs w:val="22"/>
        </w:rPr>
        <w:t>Students choosing the conventional thesis, Option A, or a paper for presentation, will make an oral presentation of their work.</w:t>
      </w:r>
    </w:p>
    <w:p w:rsidR="00F2309E" w:rsidRPr="00F2309E" w:rsidRDefault="00F2309E" w:rsidP="001B4D6A">
      <w:pPr>
        <w:autoSpaceDE w:val="0"/>
        <w:autoSpaceDN w:val="0"/>
        <w:adjustRightInd w:val="0"/>
        <w:rPr>
          <w:rFonts w:ascii="Arial" w:hAnsi="Arial" w:cs="Arial"/>
          <w:color w:val="000000"/>
          <w:sz w:val="22"/>
          <w:szCs w:val="22"/>
        </w:rPr>
      </w:pPr>
    </w:p>
    <w:p w:rsidR="00F2309E" w:rsidRPr="00F2309E" w:rsidRDefault="00F2309E" w:rsidP="001B4D6A">
      <w:pPr>
        <w:numPr>
          <w:ilvl w:val="0"/>
          <w:numId w:val="27"/>
        </w:num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Students electing to pursue the non-thesis option, Option B, will be given both a comprehensive written and oral exam on their course work. </w:t>
      </w:r>
    </w:p>
    <w:p w:rsidR="00F2309E" w:rsidRPr="00F2309E" w:rsidRDefault="00F2309E" w:rsidP="001B4D6A">
      <w:pPr>
        <w:autoSpaceDE w:val="0"/>
        <w:autoSpaceDN w:val="0"/>
        <w:adjustRightInd w:val="0"/>
        <w:rPr>
          <w:rFonts w:ascii="Arial" w:hAnsi="Arial" w:cs="Arial"/>
          <w:color w:val="000000"/>
          <w:sz w:val="22"/>
          <w:szCs w:val="22"/>
        </w:rPr>
      </w:pPr>
    </w:p>
    <w:p w:rsidR="00F2309E" w:rsidRP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All </w:t>
      </w:r>
      <w:r w:rsidR="00A60CD8">
        <w:rPr>
          <w:rFonts w:ascii="Arial" w:hAnsi="Arial" w:cs="Arial"/>
          <w:color w:val="000000"/>
          <w:sz w:val="22"/>
          <w:szCs w:val="22"/>
        </w:rPr>
        <w:t xml:space="preserve">of </w:t>
      </w:r>
      <w:r w:rsidRPr="00F2309E">
        <w:rPr>
          <w:rFonts w:ascii="Arial" w:hAnsi="Arial" w:cs="Arial"/>
          <w:color w:val="000000"/>
          <w:sz w:val="22"/>
          <w:szCs w:val="22"/>
        </w:rPr>
        <w:t>these oral presentation</w:t>
      </w:r>
      <w:r w:rsidR="00A60CD8">
        <w:rPr>
          <w:rFonts w:ascii="Arial" w:hAnsi="Arial" w:cs="Arial"/>
          <w:color w:val="000000"/>
          <w:sz w:val="22"/>
          <w:szCs w:val="22"/>
        </w:rPr>
        <w:t>s</w:t>
      </w:r>
      <w:r w:rsidRPr="00F2309E">
        <w:rPr>
          <w:rFonts w:ascii="Arial" w:hAnsi="Arial" w:cs="Arial"/>
          <w:color w:val="000000"/>
          <w:sz w:val="22"/>
          <w:szCs w:val="22"/>
        </w:rPr>
        <w:t xml:space="preserve"> and examinations will </w:t>
      </w:r>
      <w:r w:rsidR="00A60CD8">
        <w:rPr>
          <w:rFonts w:ascii="Arial" w:hAnsi="Arial" w:cs="Arial"/>
          <w:color w:val="000000"/>
          <w:sz w:val="22"/>
          <w:szCs w:val="22"/>
        </w:rPr>
        <w:t xml:space="preserve">be </w:t>
      </w:r>
      <w:r w:rsidRPr="00F2309E">
        <w:rPr>
          <w:rFonts w:ascii="Arial" w:hAnsi="Arial" w:cs="Arial"/>
          <w:color w:val="000000"/>
          <w:sz w:val="22"/>
          <w:szCs w:val="22"/>
        </w:rPr>
        <w:t xml:space="preserve">open to all interested faculty members. The student’s major advisor will inform the Graduate School Office in writing of the successful completion of these examinations.  If the candidate fails to satisfy the examiners on course work, thesis, </w:t>
      </w:r>
      <w:r w:rsidR="00C92393">
        <w:rPr>
          <w:rFonts w:ascii="Arial" w:hAnsi="Arial" w:cs="Arial"/>
          <w:color w:val="000000"/>
          <w:sz w:val="22"/>
          <w:szCs w:val="22"/>
        </w:rPr>
        <w:t xml:space="preserve">on </w:t>
      </w:r>
      <w:r w:rsidRPr="00F2309E">
        <w:rPr>
          <w:rFonts w:ascii="Arial" w:hAnsi="Arial" w:cs="Arial"/>
          <w:color w:val="000000"/>
          <w:sz w:val="22"/>
          <w:szCs w:val="22"/>
        </w:rPr>
        <w:t xml:space="preserve">publishable paper, </w:t>
      </w:r>
      <w:r w:rsidR="00B83456">
        <w:rPr>
          <w:rFonts w:ascii="Arial" w:hAnsi="Arial" w:cs="Arial"/>
          <w:color w:val="000000"/>
          <w:sz w:val="22"/>
          <w:szCs w:val="22"/>
        </w:rPr>
        <w:t xml:space="preserve">or on </w:t>
      </w:r>
      <w:r w:rsidRPr="00F2309E">
        <w:rPr>
          <w:rFonts w:ascii="Arial" w:hAnsi="Arial" w:cs="Arial"/>
          <w:color w:val="000000"/>
          <w:sz w:val="22"/>
          <w:szCs w:val="22"/>
        </w:rPr>
        <w:t xml:space="preserve">written or oral examinations, </w:t>
      </w:r>
      <w:r w:rsidR="00B83456">
        <w:rPr>
          <w:rFonts w:ascii="Arial" w:hAnsi="Arial" w:cs="Arial"/>
          <w:color w:val="000000"/>
          <w:sz w:val="22"/>
          <w:szCs w:val="22"/>
        </w:rPr>
        <w:t xml:space="preserve">then </w:t>
      </w:r>
      <w:r w:rsidRPr="00F2309E">
        <w:rPr>
          <w:rFonts w:ascii="Arial" w:hAnsi="Arial" w:cs="Arial"/>
          <w:color w:val="000000"/>
          <w:sz w:val="22"/>
          <w:szCs w:val="22"/>
        </w:rPr>
        <w:t xml:space="preserve">the committee may schedule a re-examination over general background, thesis, or </w:t>
      </w:r>
      <w:r w:rsidR="00B83456">
        <w:rPr>
          <w:rFonts w:ascii="Arial" w:hAnsi="Arial" w:cs="Arial"/>
          <w:color w:val="000000"/>
          <w:sz w:val="22"/>
          <w:szCs w:val="22"/>
        </w:rPr>
        <w:t xml:space="preserve">over </w:t>
      </w:r>
      <w:r w:rsidRPr="00F2309E">
        <w:rPr>
          <w:rFonts w:ascii="Arial" w:hAnsi="Arial" w:cs="Arial"/>
          <w:color w:val="000000"/>
          <w:sz w:val="22"/>
          <w:szCs w:val="22"/>
        </w:rPr>
        <w:t>both.</w:t>
      </w:r>
    </w:p>
    <w:p w:rsidR="00B6670B" w:rsidRPr="00B6670B" w:rsidRDefault="00B6670B" w:rsidP="001B4D6A">
      <w:pPr>
        <w:rPr>
          <w:rFonts w:ascii="Arial" w:hAnsi="Arial"/>
          <w:sz w:val="22"/>
          <w:lang w:eastAsia="en-US"/>
        </w:rPr>
      </w:pPr>
    </w:p>
    <w:p w:rsidR="00AE56F4" w:rsidRPr="00AE56F4" w:rsidRDefault="009A392B" w:rsidP="001B4D6A">
      <w:pPr>
        <w:rPr>
          <w:rFonts w:ascii="Arial" w:hAnsi="Arial" w:cs="Arial"/>
          <w:b/>
          <w:sz w:val="22"/>
          <w:szCs w:val="22"/>
        </w:rPr>
      </w:pPr>
      <w:r>
        <w:rPr>
          <w:rFonts w:ascii="Arial" w:hAnsi="Arial" w:cs="Arial"/>
          <w:b/>
          <w:sz w:val="22"/>
          <w:szCs w:val="22"/>
        </w:rPr>
        <w:t>3.C.3</w:t>
      </w:r>
      <w:r>
        <w:rPr>
          <w:rFonts w:ascii="Arial" w:hAnsi="Arial" w:cs="Arial"/>
          <w:b/>
          <w:sz w:val="22"/>
          <w:szCs w:val="22"/>
        </w:rPr>
        <w:tab/>
      </w:r>
      <w:r w:rsidR="00AE56F4" w:rsidRPr="00AE56F4">
        <w:rPr>
          <w:rFonts w:ascii="Arial" w:hAnsi="Arial" w:cs="Arial"/>
          <w:b/>
          <w:sz w:val="22"/>
          <w:szCs w:val="22"/>
        </w:rPr>
        <w:t xml:space="preserve">Clear and well-publicized distinctions are made between degree and non-degree credit. Institutional publications and oral representations explicitly indicate if credit will not be recognized toward a degree, or if special conditions exist before such credit will </w:t>
      </w:r>
      <w:r w:rsidR="00AE56F4" w:rsidRPr="00AE56F4">
        <w:rPr>
          <w:rFonts w:ascii="Arial" w:hAnsi="Arial" w:cs="Arial"/>
          <w:b/>
          <w:sz w:val="22"/>
          <w:szCs w:val="22"/>
        </w:rPr>
        <w:lastRenderedPageBreak/>
        <w:t>be recognized. Any use of such terms as extension credit, X credit, continuing education credit, is accompanied by clear statements regarding the acceptability of such credit toward degrees offered by that institution. Student transcripts clearly note when any credit awarded is non-degree credit. Whenever institutions grant non-degree credit other than the Continuing Education Unit (CEU), some summary evaluation of student performance beyond mere attendance is available.</w:t>
      </w:r>
    </w:p>
    <w:p w:rsidR="00B83456" w:rsidRDefault="00B83456" w:rsidP="001B4D6A">
      <w:pPr>
        <w:rPr>
          <w:rFonts w:ascii="Arial" w:hAnsi="Arial" w:cs="Arial"/>
          <w:sz w:val="22"/>
          <w:szCs w:val="22"/>
        </w:rPr>
      </w:pPr>
    </w:p>
    <w:p w:rsidR="0037535C" w:rsidRDefault="001718C0" w:rsidP="001B4D6A">
      <w:pPr>
        <w:rPr>
          <w:rFonts w:ascii="Arial" w:hAnsi="Arial" w:cs="Arial"/>
          <w:sz w:val="22"/>
          <w:szCs w:val="22"/>
        </w:rPr>
      </w:pPr>
      <w:r>
        <w:rPr>
          <w:rFonts w:ascii="Arial" w:hAnsi="Arial" w:cs="Arial"/>
          <w:sz w:val="22"/>
          <w:szCs w:val="22"/>
        </w:rPr>
        <w:t>Montana Tech</w:t>
      </w:r>
      <w:r w:rsidR="00A45A83" w:rsidRPr="008B0519">
        <w:rPr>
          <w:rFonts w:ascii="Arial" w:hAnsi="Arial" w:cs="Arial"/>
          <w:sz w:val="22"/>
          <w:szCs w:val="22"/>
        </w:rPr>
        <w:t xml:space="preserve"> identifies coursework and its applicability toward various certificates and/or degrees with common</w:t>
      </w:r>
      <w:r w:rsidR="00B83456">
        <w:rPr>
          <w:rFonts w:ascii="Arial" w:hAnsi="Arial" w:cs="Arial"/>
          <w:sz w:val="22"/>
          <w:szCs w:val="22"/>
        </w:rPr>
        <w:t xml:space="preserve"> course numbering conventions which are </w:t>
      </w:r>
      <w:r w:rsidR="00A45A83" w:rsidRPr="008B0519">
        <w:rPr>
          <w:rFonts w:ascii="Arial" w:hAnsi="Arial" w:cs="Arial"/>
          <w:sz w:val="22"/>
          <w:szCs w:val="22"/>
        </w:rPr>
        <w:t xml:space="preserve">outlined </w:t>
      </w:r>
      <w:r w:rsidR="00A45A83" w:rsidRPr="004D39A3">
        <w:rPr>
          <w:rFonts w:ascii="Arial" w:hAnsi="Arial" w:cs="Arial"/>
          <w:sz w:val="22"/>
          <w:szCs w:val="22"/>
        </w:rPr>
        <w:t xml:space="preserve">on </w:t>
      </w:r>
      <w:r w:rsidR="004D39A3" w:rsidRPr="004D39A3">
        <w:rPr>
          <w:rFonts w:ascii="Arial" w:hAnsi="Arial" w:cs="Arial"/>
          <w:sz w:val="22"/>
          <w:szCs w:val="22"/>
        </w:rPr>
        <w:t>page 145</w:t>
      </w:r>
      <w:r w:rsidR="0037535C" w:rsidRPr="004D39A3">
        <w:rPr>
          <w:rFonts w:ascii="Arial" w:hAnsi="Arial" w:cs="Arial"/>
          <w:sz w:val="22"/>
          <w:szCs w:val="22"/>
        </w:rPr>
        <w:t xml:space="preserve"> </w:t>
      </w:r>
      <w:r w:rsidR="00A45A83" w:rsidRPr="004D39A3">
        <w:rPr>
          <w:rFonts w:ascii="Arial" w:hAnsi="Arial" w:cs="Arial"/>
          <w:sz w:val="22"/>
          <w:szCs w:val="22"/>
        </w:rPr>
        <w:t>of</w:t>
      </w:r>
      <w:r w:rsidR="00A45A83" w:rsidRPr="008B0519">
        <w:rPr>
          <w:rFonts w:ascii="Arial" w:hAnsi="Arial" w:cs="Arial"/>
          <w:sz w:val="22"/>
          <w:szCs w:val="22"/>
        </w:rPr>
        <w:t xml:space="preserve"> the </w:t>
      </w:r>
      <w:r w:rsidR="006E6410" w:rsidRPr="006E6410">
        <w:rPr>
          <w:rFonts w:ascii="Arial" w:hAnsi="Arial" w:cs="Arial"/>
          <w:sz w:val="22"/>
          <w:szCs w:val="22"/>
        </w:rPr>
        <w:t xml:space="preserve">2009-2010 </w:t>
      </w:r>
      <w:r w:rsidR="004D39A3">
        <w:rPr>
          <w:rFonts w:ascii="Arial" w:hAnsi="Arial" w:cs="Arial"/>
          <w:sz w:val="22"/>
          <w:szCs w:val="22"/>
        </w:rPr>
        <w:t xml:space="preserve">Montana Tech </w:t>
      </w:r>
      <w:r w:rsidR="006E6410" w:rsidRPr="006E6410">
        <w:rPr>
          <w:rFonts w:ascii="Arial" w:hAnsi="Arial" w:cs="Arial"/>
          <w:sz w:val="22"/>
          <w:szCs w:val="22"/>
        </w:rPr>
        <w:t>C</w:t>
      </w:r>
      <w:r w:rsidR="00A45A83" w:rsidRPr="006E6410">
        <w:rPr>
          <w:rFonts w:ascii="Arial" w:hAnsi="Arial" w:cs="Arial"/>
          <w:sz w:val="22"/>
          <w:szCs w:val="22"/>
        </w:rPr>
        <w:t>atalog</w:t>
      </w:r>
      <w:r w:rsidR="00FB2154" w:rsidRPr="006E6410">
        <w:rPr>
          <w:rFonts w:ascii="Arial" w:hAnsi="Arial" w:cs="Arial"/>
          <w:sz w:val="22"/>
          <w:szCs w:val="22"/>
        </w:rPr>
        <w:t xml:space="preserve">. </w:t>
      </w:r>
      <w:r w:rsidR="0033278B" w:rsidRPr="006E6410">
        <w:rPr>
          <w:rFonts w:ascii="Arial" w:hAnsi="Arial" w:cs="Arial"/>
          <w:sz w:val="22"/>
          <w:szCs w:val="22"/>
        </w:rPr>
        <w:t>Moreover</w:t>
      </w:r>
      <w:r w:rsidR="0033278B">
        <w:rPr>
          <w:rFonts w:ascii="Arial" w:hAnsi="Arial" w:cs="Arial"/>
          <w:sz w:val="22"/>
          <w:szCs w:val="22"/>
        </w:rPr>
        <w:t xml:space="preserve">, </w:t>
      </w:r>
      <w:r w:rsidR="0037535C">
        <w:rPr>
          <w:rFonts w:ascii="Arial" w:hAnsi="Arial" w:cs="Arial"/>
          <w:sz w:val="22"/>
          <w:szCs w:val="22"/>
        </w:rPr>
        <w:t>Montana Tech is</w:t>
      </w:r>
      <w:r w:rsidR="0037535C" w:rsidRPr="00621873">
        <w:rPr>
          <w:rFonts w:ascii="Arial" w:hAnsi="Arial" w:cs="Arial"/>
          <w:sz w:val="22"/>
          <w:szCs w:val="22"/>
        </w:rPr>
        <w:t xml:space="preserve"> an active participant in the Montana University System’s Common Course Numbering Initiative</w:t>
      </w:r>
      <w:r w:rsidR="0037535C">
        <w:rPr>
          <w:rFonts w:ascii="Arial" w:hAnsi="Arial" w:cs="Arial"/>
          <w:sz w:val="22"/>
          <w:szCs w:val="22"/>
        </w:rPr>
        <w:t xml:space="preserve"> (CCNI) described in </w:t>
      </w:r>
      <w:r w:rsidR="0037535C" w:rsidRPr="00621873">
        <w:rPr>
          <w:rFonts w:ascii="Arial" w:hAnsi="Arial" w:cs="Arial"/>
          <w:sz w:val="22"/>
          <w:szCs w:val="22"/>
        </w:rPr>
        <w:t>3.B.1</w:t>
      </w:r>
      <w:r w:rsidR="0037535C">
        <w:rPr>
          <w:rFonts w:ascii="Arial" w:hAnsi="Arial" w:cs="Arial"/>
          <w:sz w:val="22"/>
          <w:szCs w:val="22"/>
        </w:rPr>
        <w:t>.</w:t>
      </w:r>
    </w:p>
    <w:p w:rsidR="00FB2154" w:rsidRDefault="00FB2154" w:rsidP="001B4D6A">
      <w:pPr>
        <w:rPr>
          <w:rFonts w:ascii="Arial" w:hAnsi="Arial" w:cs="Arial"/>
          <w:sz w:val="22"/>
          <w:szCs w:val="22"/>
        </w:rPr>
      </w:pPr>
    </w:p>
    <w:p w:rsidR="00FB2154" w:rsidRPr="007948A9" w:rsidRDefault="00FB2154" w:rsidP="001B4D6A">
      <w:pPr>
        <w:rPr>
          <w:rFonts w:ascii="Arial" w:hAnsi="Arial" w:cs="Arial"/>
          <w:color w:val="365F91" w:themeColor="accent1" w:themeShade="BF"/>
          <w:sz w:val="22"/>
          <w:szCs w:val="22"/>
        </w:rPr>
      </w:pPr>
      <w:r w:rsidRPr="008B0519">
        <w:rPr>
          <w:rFonts w:ascii="Arial" w:hAnsi="Arial" w:cs="Arial"/>
          <w:sz w:val="22"/>
          <w:szCs w:val="22"/>
        </w:rPr>
        <w:t xml:space="preserve">Specific limitations </w:t>
      </w:r>
      <w:r w:rsidRPr="00C21BC4">
        <w:rPr>
          <w:rFonts w:ascii="Arial" w:hAnsi="Arial" w:cs="Arial"/>
          <w:sz w:val="22"/>
          <w:szCs w:val="22"/>
        </w:rPr>
        <w:t xml:space="preserve">for the amount of continuing education, credit by examination, </w:t>
      </w:r>
      <w:r w:rsidR="0033278B">
        <w:rPr>
          <w:rFonts w:ascii="Arial" w:hAnsi="Arial" w:cs="Arial"/>
          <w:sz w:val="22"/>
          <w:szCs w:val="22"/>
        </w:rPr>
        <w:t xml:space="preserve">the </w:t>
      </w:r>
      <w:r w:rsidRPr="00C21BC4">
        <w:rPr>
          <w:rFonts w:ascii="Arial" w:hAnsi="Arial" w:cs="Arial"/>
          <w:sz w:val="22"/>
          <w:szCs w:val="22"/>
        </w:rPr>
        <w:t xml:space="preserve">college level examination program (CLEP), Tech Prep, correspondence, </w:t>
      </w:r>
      <w:r w:rsidR="0033278B">
        <w:rPr>
          <w:rFonts w:ascii="Arial" w:hAnsi="Arial" w:cs="Arial"/>
          <w:sz w:val="22"/>
          <w:szCs w:val="22"/>
        </w:rPr>
        <w:t xml:space="preserve">for </w:t>
      </w:r>
      <w:r w:rsidRPr="00C21BC4">
        <w:rPr>
          <w:rFonts w:ascii="Arial" w:hAnsi="Arial" w:cs="Arial"/>
          <w:sz w:val="22"/>
          <w:szCs w:val="22"/>
        </w:rPr>
        <w:t xml:space="preserve">advanced placement or extended studies credit, </w:t>
      </w:r>
      <w:r w:rsidR="0033278B">
        <w:rPr>
          <w:rFonts w:ascii="Arial" w:hAnsi="Arial" w:cs="Arial"/>
          <w:sz w:val="22"/>
          <w:szCs w:val="22"/>
        </w:rPr>
        <w:t xml:space="preserve">and for </w:t>
      </w:r>
      <w:r w:rsidRPr="00C21BC4">
        <w:rPr>
          <w:rFonts w:ascii="Arial" w:hAnsi="Arial" w:cs="Arial"/>
          <w:sz w:val="22"/>
          <w:szCs w:val="22"/>
        </w:rPr>
        <w:t xml:space="preserve">other types of atypical coursework are clearly identified and explained on </w:t>
      </w:r>
      <w:r w:rsidR="00063ABE">
        <w:rPr>
          <w:rFonts w:ascii="Arial" w:hAnsi="Arial" w:cs="Arial"/>
          <w:sz w:val="22"/>
          <w:szCs w:val="22"/>
        </w:rPr>
        <w:t>pp.</w:t>
      </w:r>
      <w:r w:rsidRPr="006E6410">
        <w:rPr>
          <w:rFonts w:ascii="Arial" w:hAnsi="Arial" w:cs="Arial"/>
          <w:sz w:val="22"/>
          <w:szCs w:val="22"/>
        </w:rPr>
        <w:t xml:space="preserve"> 8-10</w:t>
      </w:r>
      <w:r w:rsidR="008E5E67" w:rsidRPr="006E6410">
        <w:rPr>
          <w:rFonts w:ascii="Arial" w:hAnsi="Arial" w:cs="Arial"/>
          <w:sz w:val="22"/>
          <w:szCs w:val="22"/>
        </w:rPr>
        <w:t xml:space="preserve"> of</w:t>
      </w:r>
      <w:r w:rsidR="004D39A3">
        <w:rPr>
          <w:rFonts w:ascii="Arial" w:hAnsi="Arial" w:cs="Arial"/>
          <w:sz w:val="22"/>
          <w:szCs w:val="22"/>
        </w:rPr>
        <w:t xml:space="preserve"> the</w:t>
      </w:r>
      <w:r w:rsidRPr="00C21BC4">
        <w:rPr>
          <w:rFonts w:ascii="Arial" w:hAnsi="Arial" w:cs="Arial"/>
          <w:sz w:val="22"/>
          <w:szCs w:val="22"/>
        </w:rPr>
        <w:t xml:space="preserve"> catalog.  Montana Tech reviews these policies and updates them yearly</w:t>
      </w:r>
      <w:r w:rsidR="0033278B">
        <w:rPr>
          <w:rFonts w:ascii="Arial" w:hAnsi="Arial" w:cs="Arial"/>
          <w:sz w:val="22"/>
          <w:szCs w:val="22"/>
        </w:rPr>
        <w:t xml:space="preserve"> on the basis of</w:t>
      </w:r>
      <w:r w:rsidRPr="00C21BC4">
        <w:rPr>
          <w:rFonts w:ascii="Arial" w:hAnsi="Arial" w:cs="Arial"/>
          <w:sz w:val="22"/>
          <w:szCs w:val="22"/>
        </w:rPr>
        <w:t xml:space="preserve"> changes in the </w:t>
      </w:r>
      <w:r w:rsidR="0072236E">
        <w:rPr>
          <w:rFonts w:ascii="Arial" w:hAnsi="Arial" w:cs="Arial"/>
          <w:sz w:val="22"/>
          <w:szCs w:val="22"/>
        </w:rPr>
        <w:t>U</w:t>
      </w:r>
      <w:r w:rsidR="00FA308E" w:rsidRPr="00C21BC4">
        <w:rPr>
          <w:rFonts w:ascii="Arial" w:hAnsi="Arial" w:cs="Arial"/>
          <w:sz w:val="22"/>
          <w:szCs w:val="22"/>
        </w:rPr>
        <w:t>niversitie</w:t>
      </w:r>
      <w:r w:rsidR="00FA308E">
        <w:rPr>
          <w:rFonts w:ascii="Arial" w:hAnsi="Arial" w:cs="Arial"/>
          <w:sz w:val="22"/>
          <w:szCs w:val="22"/>
        </w:rPr>
        <w:t>s</w:t>
      </w:r>
      <w:r w:rsidR="00FA308E" w:rsidRPr="00C21BC4">
        <w:rPr>
          <w:rFonts w:ascii="Arial" w:hAnsi="Arial" w:cs="Arial"/>
          <w:sz w:val="22"/>
          <w:szCs w:val="22"/>
        </w:rPr>
        <w:t>’</w:t>
      </w:r>
      <w:r w:rsidRPr="00C21BC4">
        <w:rPr>
          <w:rFonts w:ascii="Arial" w:hAnsi="Arial" w:cs="Arial"/>
          <w:sz w:val="22"/>
          <w:szCs w:val="22"/>
        </w:rPr>
        <w:t xml:space="preserve"> curriculum or changes in the program(s) that assist students in receiving credit through non-traditional means.</w:t>
      </w:r>
      <w:r w:rsidR="00732BCB">
        <w:rPr>
          <w:rFonts w:ascii="Arial" w:hAnsi="Arial" w:cs="Arial"/>
          <w:sz w:val="22"/>
          <w:szCs w:val="22"/>
        </w:rPr>
        <w:t xml:space="preserve"> </w:t>
      </w:r>
    </w:p>
    <w:p w:rsidR="00053EEF" w:rsidRDefault="00053EEF" w:rsidP="001B4D6A"/>
    <w:p w:rsidR="00AE56F4" w:rsidRPr="00AE56F4" w:rsidRDefault="00AE56F4" w:rsidP="001B4D6A">
      <w:pPr>
        <w:rPr>
          <w:rFonts w:ascii="Arial" w:hAnsi="Arial" w:cs="Arial"/>
          <w:b/>
          <w:sz w:val="22"/>
          <w:szCs w:val="22"/>
        </w:rPr>
      </w:pPr>
      <w:r w:rsidRPr="00AE56F4">
        <w:rPr>
          <w:rFonts w:ascii="Arial" w:hAnsi="Arial" w:cs="Arial"/>
          <w:b/>
          <w:sz w:val="22"/>
          <w:szCs w:val="22"/>
        </w:rPr>
        <w:t xml:space="preserve">3.C.4 </w:t>
      </w:r>
      <w:r>
        <w:rPr>
          <w:rFonts w:ascii="Arial" w:hAnsi="Arial" w:cs="Arial"/>
          <w:b/>
          <w:sz w:val="22"/>
          <w:szCs w:val="22"/>
        </w:rPr>
        <w:tab/>
      </w:r>
      <w:r w:rsidRPr="00AE56F4">
        <w:rPr>
          <w:rFonts w:ascii="Arial" w:hAnsi="Arial" w:cs="Arial"/>
          <w:b/>
          <w:sz w:val="22"/>
          <w:szCs w:val="22"/>
        </w:rPr>
        <w:t xml:space="preserve">Transfer credit is accepted from accredited institutions or from other institutions under procedures which provide adequate safeguards to ensure high academic quality and relevance to the students’ programs. Implementation of transfer credit policies is consistent with 2.C.4 as well as Policy 2.5 </w:t>
      </w:r>
      <w:r w:rsidRPr="00AE56F4">
        <w:rPr>
          <w:rFonts w:ascii="Arial" w:hAnsi="Arial" w:cs="Arial"/>
          <w:b/>
          <w:i/>
          <w:iCs/>
          <w:sz w:val="22"/>
          <w:szCs w:val="22"/>
        </w:rPr>
        <w:t>Transfer and Award of Academic Credit</w:t>
      </w:r>
      <w:r w:rsidRPr="00AE56F4">
        <w:rPr>
          <w:rFonts w:ascii="Arial" w:hAnsi="Arial" w:cs="Arial"/>
          <w:b/>
          <w:sz w:val="22"/>
          <w:szCs w:val="22"/>
        </w:rPr>
        <w:t>. The final judgment for determining acceptable credit for transfer is the responsibility of the receiving institution.</w:t>
      </w:r>
    </w:p>
    <w:p w:rsidR="00053EEF" w:rsidRDefault="00053EEF" w:rsidP="001B4D6A">
      <w:pPr>
        <w:ind w:hanging="720"/>
        <w:rPr>
          <w:rStyle w:val="A2"/>
          <w:rFonts w:ascii="Palatino Linotype" w:hAnsi="Palatino Linotype"/>
        </w:rPr>
      </w:pPr>
    </w:p>
    <w:p w:rsidR="00A45A83" w:rsidRPr="008B0519" w:rsidRDefault="0072236E" w:rsidP="001B4D6A">
      <w:pPr>
        <w:rPr>
          <w:rFonts w:ascii="Arial" w:hAnsi="Arial" w:cs="Arial"/>
          <w:sz w:val="22"/>
          <w:szCs w:val="22"/>
        </w:rPr>
      </w:pPr>
      <w:r>
        <w:rPr>
          <w:rFonts w:ascii="Arial" w:hAnsi="Arial" w:cs="Arial"/>
          <w:sz w:val="22"/>
          <w:szCs w:val="22"/>
        </w:rPr>
        <w:t>The University</w:t>
      </w:r>
      <w:r w:rsidR="00A45A83" w:rsidRPr="008B0519">
        <w:rPr>
          <w:rFonts w:ascii="Arial" w:hAnsi="Arial" w:cs="Arial"/>
          <w:sz w:val="22"/>
          <w:szCs w:val="22"/>
        </w:rPr>
        <w:t xml:space="preserve"> accepts transfer credit from other regionally accredited institutions in accordance with Montana University System policies and as noted in the </w:t>
      </w:r>
      <w:r w:rsidR="00A45A83" w:rsidRPr="006E6410">
        <w:rPr>
          <w:rFonts w:ascii="Arial" w:hAnsi="Arial" w:cs="Arial"/>
          <w:sz w:val="22"/>
          <w:szCs w:val="22"/>
        </w:rPr>
        <w:t>college catalog (pp</w:t>
      </w:r>
      <w:r w:rsidR="00063ABE">
        <w:rPr>
          <w:rFonts w:ascii="Arial" w:hAnsi="Arial" w:cs="Arial"/>
          <w:sz w:val="22"/>
          <w:szCs w:val="22"/>
        </w:rPr>
        <w:t>.</w:t>
      </w:r>
      <w:r w:rsidR="00A45A83" w:rsidRPr="006E6410">
        <w:rPr>
          <w:rFonts w:ascii="Arial" w:hAnsi="Arial" w:cs="Arial"/>
          <w:sz w:val="22"/>
          <w:szCs w:val="22"/>
        </w:rPr>
        <w:t xml:space="preserve"> 8-9). Transfer</w:t>
      </w:r>
      <w:r w:rsidR="00A45A83" w:rsidRPr="008B0519">
        <w:rPr>
          <w:rFonts w:ascii="Arial" w:hAnsi="Arial" w:cs="Arial"/>
          <w:sz w:val="22"/>
          <w:szCs w:val="22"/>
        </w:rPr>
        <w:t xml:space="preserve"> credit from institutions that are candidates for regional accreditation is awarded AFTER the student</w:t>
      </w:r>
      <w:r w:rsidR="00A45A83" w:rsidRPr="00C51311">
        <w:rPr>
          <w:rFonts w:ascii="Arial" w:hAnsi="Arial" w:cs="Arial"/>
          <w:color w:val="00B050"/>
          <w:sz w:val="22"/>
          <w:szCs w:val="22"/>
        </w:rPr>
        <w:t xml:space="preserve"> </w:t>
      </w:r>
      <w:r w:rsidR="00A45A83" w:rsidRPr="008B0519">
        <w:rPr>
          <w:rFonts w:ascii="Arial" w:hAnsi="Arial" w:cs="Arial"/>
          <w:sz w:val="22"/>
          <w:szCs w:val="22"/>
        </w:rPr>
        <w:t>has successfully completed 30 credits at Montana Tech.  Credits of st</w:t>
      </w:r>
      <w:r w:rsidR="00732BCB">
        <w:rPr>
          <w:rFonts w:ascii="Arial" w:hAnsi="Arial" w:cs="Arial"/>
          <w:sz w:val="22"/>
          <w:szCs w:val="22"/>
        </w:rPr>
        <w:t>udents transferring from international</w:t>
      </w:r>
      <w:r w:rsidR="00A45A83" w:rsidRPr="008B0519">
        <w:rPr>
          <w:rFonts w:ascii="Arial" w:hAnsi="Arial" w:cs="Arial"/>
          <w:sz w:val="22"/>
          <w:szCs w:val="22"/>
        </w:rPr>
        <w:t xml:space="preserve"> </w:t>
      </w:r>
      <w:r w:rsidR="00A45A83" w:rsidRPr="00C74C86">
        <w:rPr>
          <w:rFonts w:ascii="Arial" w:hAnsi="Arial" w:cs="Arial"/>
          <w:sz w:val="22"/>
          <w:szCs w:val="22"/>
        </w:rPr>
        <w:t>institutio</w:t>
      </w:r>
      <w:r w:rsidRPr="00C74C86">
        <w:rPr>
          <w:rFonts w:ascii="Arial" w:hAnsi="Arial" w:cs="Arial"/>
          <w:sz w:val="22"/>
          <w:szCs w:val="22"/>
        </w:rPr>
        <w:t>ns</w:t>
      </w:r>
      <w:r w:rsidR="006C55BB" w:rsidRPr="00C74C86">
        <w:rPr>
          <w:rFonts w:ascii="Arial" w:hAnsi="Arial" w:cs="Arial"/>
          <w:sz w:val="22"/>
          <w:szCs w:val="22"/>
        </w:rPr>
        <w:t xml:space="preserve">, excluding Canadian </w:t>
      </w:r>
      <w:r w:rsidR="00F50EEC" w:rsidRPr="00C74C86">
        <w:rPr>
          <w:rFonts w:ascii="Arial" w:hAnsi="Arial" w:cs="Arial"/>
          <w:sz w:val="22"/>
          <w:szCs w:val="22"/>
        </w:rPr>
        <w:t>institutions</w:t>
      </w:r>
      <w:r w:rsidR="006C55BB" w:rsidRPr="00C74C86">
        <w:rPr>
          <w:rFonts w:ascii="Arial" w:hAnsi="Arial" w:cs="Arial"/>
          <w:sz w:val="22"/>
          <w:szCs w:val="22"/>
        </w:rPr>
        <w:t>,</w:t>
      </w:r>
      <w:r w:rsidRPr="00C74C86">
        <w:rPr>
          <w:rFonts w:ascii="Arial" w:hAnsi="Arial" w:cs="Arial"/>
          <w:sz w:val="22"/>
          <w:szCs w:val="22"/>
        </w:rPr>
        <w:t xml:space="preserve"> are</w:t>
      </w:r>
      <w:r>
        <w:rPr>
          <w:rFonts w:ascii="Arial" w:hAnsi="Arial" w:cs="Arial"/>
          <w:sz w:val="22"/>
          <w:szCs w:val="22"/>
        </w:rPr>
        <w:t xml:space="preserve"> evaluated for the University</w:t>
      </w:r>
      <w:r w:rsidR="00A45A83" w:rsidRPr="008B0519">
        <w:rPr>
          <w:rFonts w:ascii="Arial" w:hAnsi="Arial" w:cs="Arial"/>
          <w:sz w:val="22"/>
          <w:szCs w:val="22"/>
        </w:rPr>
        <w:t xml:space="preserve"> by Educational Credential Evaluators, </w:t>
      </w:r>
      <w:r w:rsidR="00A7011B" w:rsidRPr="008B0519">
        <w:rPr>
          <w:rFonts w:ascii="Arial" w:hAnsi="Arial" w:cs="Arial"/>
          <w:sz w:val="22"/>
          <w:szCs w:val="22"/>
        </w:rPr>
        <w:t>Inc.</w:t>
      </w:r>
      <w:r w:rsidR="00A45A83" w:rsidRPr="008B0519">
        <w:rPr>
          <w:rFonts w:ascii="Arial" w:hAnsi="Arial" w:cs="Arial"/>
          <w:sz w:val="22"/>
          <w:szCs w:val="22"/>
        </w:rPr>
        <w:t xml:space="preserve">  </w:t>
      </w:r>
    </w:p>
    <w:p w:rsidR="0048266F" w:rsidRPr="0048266F" w:rsidRDefault="0048266F" w:rsidP="001B4D6A">
      <w:pPr>
        <w:rPr>
          <w:rStyle w:val="A2"/>
          <w:rFonts w:ascii="Arial" w:hAnsi="Arial" w:cs="Arial"/>
        </w:rPr>
      </w:pPr>
    </w:p>
    <w:p w:rsidR="0048266F" w:rsidRPr="0033278B" w:rsidRDefault="009A392B" w:rsidP="001B4D6A">
      <w:pPr>
        <w:rPr>
          <w:rFonts w:ascii="Arial" w:hAnsi="Arial" w:cs="Arial"/>
          <w:b/>
          <w:sz w:val="22"/>
          <w:szCs w:val="22"/>
        </w:rPr>
      </w:pPr>
      <w:r>
        <w:rPr>
          <w:rFonts w:ascii="Arial" w:hAnsi="Arial" w:cs="Arial"/>
          <w:b/>
          <w:sz w:val="22"/>
          <w:szCs w:val="22"/>
        </w:rPr>
        <w:t>3.C.5</w:t>
      </w:r>
      <w:r>
        <w:rPr>
          <w:rFonts w:ascii="Arial" w:hAnsi="Arial" w:cs="Arial"/>
          <w:b/>
          <w:sz w:val="22"/>
          <w:szCs w:val="22"/>
        </w:rPr>
        <w:tab/>
      </w:r>
      <w:r w:rsidR="00AE56F4" w:rsidRPr="00AE56F4">
        <w:rPr>
          <w:rFonts w:ascii="Arial" w:hAnsi="Arial" w:cs="Arial"/>
          <w:b/>
          <w:sz w:val="22"/>
          <w:szCs w:val="22"/>
        </w:rPr>
        <w:t>The institution makes provision for the security of student records of admission and progress. Student records, including transcripts, are private, accurate, complete, and permanent. They are protected by fire-proof and otherwise safe storage and are backed by duplicate files. Data and records maintained in computing systems have adequate security and provision for recovery in the event of disaster. The information-release policy respects the right of individual privacy and ensures the confidentiality of records and file</w:t>
      </w:r>
      <w:r w:rsidR="00A60CD8">
        <w:rPr>
          <w:rFonts w:ascii="Arial" w:hAnsi="Arial" w:cs="Arial"/>
          <w:b/>
          <w:sz w:val="22"/>
          <w:szCs w:val="22"/>
        </w:rPr>
        <w:t>s</w:t>
      </w:r>
      <w:r w:rsidR="00AE56F4">
        <w:rPr>
          <w:rFonts w:ascii="Arial" w:hAnsi="Arial" w:cs="Arial"/>
          <w:b/>
          <w:sz w:val="22"/>
          <w:szCs w:val="22"/>
        </w:rPr>
        <w:t>.</w:t>
      </w:r>
    </w:p>
    <w:p w:rsidR="00A543AA" w:rsidRPr="0033278B" w:rsidRDefault="00A543AA" w:rsidP="001B4D6A">
      <w:pPr>
        <w:rPr>
          <w:rFonts w:ascii="Arial" w:hAnsi="Arial" w:cs="Arial"/>
          <w:sz w:val="22"/>
          <w:szCs w:val="22"/>
        </w:rPr>
      </w:pPr>
    </w:p>
    <w:p w:rsidR="00DA2853" w:rsidRPr="008B0519" w:rsidRDefault="00DA2853" w:rsidP="001B4D6A">
      <w:pPr>
        <w:rPr>
          <w:rFonts w:ascii="Arial" w:hAnsi="Arial" w:cs="Arial"/>
          <w:sz w:val="22"/>
          <w:szCs w:val="22"/>
        </w:rPr>
      </w:pPr>
      <w:r w:rsidRPr="0033278B">
        <w:rPr>
          <w:rFonts w:ascii="Arial" w:hAnsi="Arial" w:cs="Arial"/>
          <w:sz w:val="22"/>
          <w:szCs w:val="22"/>
        </w:rPr>
        <w:t xml:space="preserve">Montana Tech student records are complete, accurate, and secure.  The college has adopted and follows </w:t>
      </w:r>
      <w:r w:rsidR="00376722" w:rsidRPr="0033278B">
        <w:rPr>
          <w:rFonts w:ascii="Arial" w:hAnsi="Arial" w:cs="Arial"/>
          <w:sz w:val="22"/>
          <w:szCs w:val="22"/>
        </w:rPr>
        <w:t>American Association of College Registrar’s and Admission Officer’s (AACRAO) recommendations</w:t>
      </w:r>
      <w:r w:rsidRPr="0033278B">
        <w:rPr>
          <w:rFonts w:ascii="Arial" w:hAnsi="Arial" w:cs="Arial"/>
          <w:sz w:val="22"/>
          <w:szCs w:val="22"/>
        </w:rPr>
        <w:t xml:space="preserve"> for Retention of Records.  Transcripts and registered student files are</w:t>
      </w:r>
      <w:r w:rsidRPr="008B0519">
        <w:rPr>
          <w:rFonts w:ascii="Arial" w:hAnsi="Arial" w:cs="Arial"/>
          <w:sz w:val="22"/>
          <w:szCs w:val="22"/>
        </w:rPr>
        <w:t xml:space="preserve"> maintained in fireproof storage (safes &amp; file cabinets) until they ar</w:t>
      </w:r>
      <w:r w:rsidR="006C55BB">
        <w:rPr>
          <w:rFonts w:ascii="Arial" w:hAnsi="Arial" w:cs="Arial"/>
          <w:sz w:val="22"/>
          <w:szCs w:val="22"/>
        </w:rPr>
        <w:t>e scanned into</w:t>
      </w:r>
      <w:r w:rsidRPr="00376722">
        <w:rPr>
          <w:rFonts w:ascii="Arial" w:hAnsi="Arial" w:cs="Arial"/>
          <w:sz w:val="22"/>
          <w:szCs w:val="22"/>
        </w:rPr>
        <w:t xml:space="preserve"> </w:t>
      </w:r>
      <w:r w:rsidR="00376722" w:rsidRPr="00376722">
        <w:rPr>
          <w:rFonts w:ascii="Arial" w:hAnsi="Arial" w:cs="Arial"/>
          <w:sz w:val="22"/>
          <w:szCs w:val="22"/>
        </w:rPr>
        <w:t>NOLIJ™</w:t>
      </w:r>
      <w:r w:rsidR="00376722">
        <w:rPr>
          <w:rFonts w:ascii="Arial" w:hAnsi="Arial" w:cs="Arial"/>
          <w:color w:val="FF0000"/>
          <w:sz w:val="22"/>
          <w:szCs w:val="22"/>
        </w:rPr>
        <w:t xml:space="preserve"> </w:t>
      </w:r>
      <w:r w:rsidRPr="00376722">
        <w:rPr>
          <w:rFonts w:ascii="Arial" w:hAnsi="Arial" w:cs="Arial"/>
          <w:sz w:val="22"/>
          <w:szCs w:val="22"/>
        </w:rPr>
        <w:t>data</w:t>
      </w:r>
      <w:r w:rsidRPr="008B0519">
        <w:rPr>
          <w:rFonts w:ascii="Arial" w:hAnsi="Arial" w:cs="Arial"/>
          <w:sz w:val="22"/>
          <w:szCs w:val="22"/>
        </w:rPr>
        <w:t>base. Once the files are scanned</w:t>
      </w:r>
      <w:r w:rsidR="00A34D6C">
        <w:rPr>
          <w:rFonts w:ascii="Arial" w:hAnsi="Arial" w:cs="Arial"/>
          <w:sz w:val="22"/>
          <w:szCs w:val="22"/>
        </w:rPr>
        <w:t>,</w:t>
      </w:r>
      <w:r w:rsidRPr="008B0519">
        <w:rPr>
          <w:rFonts w:ascii="Arial" w:hAnsi="Arial" w:cs="Arial"/>
          <w:sz w:val="22"/>
          <w:szCs w:val="22"/>
        </w:rPr>
        <w:t xml:space="preserve"> they are also recorded in Banner.  This </w:t>
      </w:r>
      <w:r w:rsidR="0033278B">
        <w:rPr>
          <w:rFonts w:ascii="Arial" w:hAnsi="Arial" w:cs="Arial"/>
          <w:sz w:val="22"/>
          <w:szCs w:val="22"/>
        </w:rPr>
        <w:t xml:space="preserve">approach </w:t>
      </w:r>
      <w:r w:rsidRPr="008B0519">
        <w:rPr>
          <w:rFonts w:ascii="Arial" w:hAnsi="Arial" w:cs="Arial"/>
          <w:sz w:val="22"/>
          <w:szCs w:val="22"/>
        </w:rPr>
        <w:t>provides a redundant database platform</w:t>
      </w:r>
      <w:r w:rsidR="00A34D6C">
        <w:rPr>
          <w:rFonts w:ascii="Arial" w:hAnsi="Arial" w:cs="Arial"/>
          <w:sz w:val="22"/>
          <w:szCs w:val="22"/>
        </w:rPr>
        <w:t>,</w:t>
      </w:r>
      <w:r w:rsidRPr="008B0519">
        <w:rPr>
          <w:rFonts w:ascii="Arial" w:hAnsi="Arial" w:cs="Arial"/>
          <w:sz w:val="22"/>
          <w:szCs w:val="22"/>
        </w:rPr>
        <w:t xml:space="preserve"> both</w:t>
      </w:r>
      <w:r w:rsidR="00BC5572">
        <w:rPr>
          <w:rFonts w:ascii="Arial" w:hAnsi="Arial" w:cs="Arial"/>
          <w:sz w:val="22"/>
          <w:szCs w:val="22"/>
        </w:rPr>
        <w:t xml:space="preserve"> of which are backed up</w:t>
      </w:r>
      <w:r w:rsidRPr="008B0519">
        <w:rPr>
          <w:rFonts w:ascii="Arial" w:hAnsi="Arial" w:cs="Arial"/>
          <w:sz w:val="22"/>
          <w:szCs w:val="22"/>
        </w:rPr>
        <w:t xml:space="preserve"> weekly with the back-up data being stored off-site.  The college publishes and adheres to FERPA guidelines </w:t>
      </w:r>
      <w:r w:rsidR="0033278B">
        <w:rPr>
          <w:rFonts w:ascii="Arial" w:hAnsi="Arial" w:cs="Arial"/>
          <w:sz w:val="22"/>
          <w:szCs w:val="22"/>
        </w:rPr>
        <w:t>on</w:t>
      </w:r>
      <w:r w:rsidRPr="008B0519">
        <w:rPr>
          <w:rFonts w:ascii="Arial" w:hAnsi="Arial" w:cs="Arial"/>
          <w:sz w:val="22"/>
          <w:szCs w:val="22"/>
        </w:rPr>
        <w:t xml:space="preserve"> release of information and confidentiality of student records.</w:t>
      </w:r>
      <w:r w:rsidR="00EF21B0">
        <w:rPr>
          <w:rFonts w:ascii="Arial" w:hAnsi="Arial" w:cs="Arial"/>
          <w:sz w:val="22"/>
          <w:szCs w:val="22"/>
        </w:rPr>
        <w:t xml:space="preserve">  Further, the University</w:t>
      </w:r>
      <w:r w:rsidR="009E4C7E" w:rsidRPr="008B0519">
        <w:rPr>
          <w:rFonts w:ascii="Arial" w:hAnsi="Arial" w:cs="Arial"/>
          <w:sz w:val="22"/>
          <w:szCs w:val="22"/>
        </w:rPr>
        <w:t xml:space="preserve"> provides </w:t>
      </w:r>
      <w:r w:rsidR="009B473D" w:rsidRPr="008B0519">
        <w:rPr>
          <w:rFonts w:ascii="Arial" w:hAnsi="Arial" w:cs="Arial"/>
          <w:sz w:val="22"/>
          <w:szCs w:val="22"/>
        </w:rPr>
        <w:t xml:space="preserve">training </w:t>
      </w:r>
      <w:r w:rsidR="009E4C7E" w:rsidRPr="008B0519">
        <w:rPr>
          <w:rFonts w:ascii="Arial" w:hAnsi="Arial" w:cs="Arial"/>
          <w:sz w:val="22"/>
          <w:szCs w:val="22"/>
        </w:rPr>
        <w:t xml:space="preserve">at </w:t>
      </w:r>
      <w:r w:rsidR="009E4C7E" w:rsidRPr="008B0519">
        <w:rPr>
          <w:rFonts w:ascii="Arial" w:hAnsi="Arial" w:cs="Arial"/>
          <w:sz w:val="22"/>
          <w:szCs w:val="22"/>
        </w:rPr>
        <w:lastRenderedPageBreak/>
        <w:t>least once per semester on FERPA</w:t>
      </w:r>
      <w:r w:rsidR="009B473D" w:rsidRPr="008B0519">
        <w:rPr>
          <w:rFonts w:ascii="Arial" w:hAnsi="Arial" w:cs="Arial"/>
          <w:sz w:val="22"/>
          <w:szCs w:val="22"/>
        </w:rPr>
        <w:t>,</w:t>
      </w:r>
      <w:r w:rsidR="009E4C7E" w:rsidRPr="008B0519">
        <w:rPr>
          <w:rFonts w:ascii="Arial" w:hAnsi="Arial" w:cs="Arial"/>
          <w:sz w:val="22"/>
          <w:szCs w:val="22"/>
        </w:rPr>
        <w:t xml:space="preserve"> and all employees who have access to FERPA</w:t>
      </w:r>
      <w:r w:rsidR="00A60CD8">
        <w:rPr>
          <w:rFonts w:ascii="Arial" w:hAnsi="Arial" w:cs="Arial"/>
          <w:sz w:val="22"/>
          <w:szCs w:val="22"/>
        </w:rPr>
        <w:t>-</w:t>
      </w:r>
      <w:r w:rsidR="009E4C7E" w:rsidRPr="008B0519">
        <w:rPr>
          <w:rFonts w:ascii="Arial" w:hAnsi="Arial" w:cs="Arial"/>
          <w:sz w:val="22"/>
          <w:szCs w:val="22"/>
        </w:rPr>
        <w:t>protected data are required to attend</w:t>
      </w:r>
      <w:r w:rsidR="00EF21B0">
        <w:rPr>
          <w:rFonts w:ascii="Arial" w:hAnsi="Arial" w:cs="Arial"/>
          <w:sz w:val="22"/>
          <w:szCs w:val="22"/>
        </w:rPr>
        <w:t xml:space="preserve"> </w:t>
      </w:r>
      <w:r w:rsidR="00EF21B0" w:rsidRPr="00EF21B0">
        <w:rPr>
          <w:rFonts w:ascii="Arial" w:hAnsi="Arial" w:cs="Arial"/>
          <w:color w:val="0033CC"/>
          <w:sz w:val="22"/>
          <w:szCs w:val="22"/>
        </w:rPr>
        <w:t>a training session</w:t>
      </w:r>
      <w:r w:rsidR="009E4C7E" w:rsidRPr="008B0519">
        <w:rPr>
          <w:rFonts w:ascii="Arial" w:hAnsi="Arial" w:cs="Arial"/>
          <w:sz w:val="22"/>
          <w:szCs w:val="22"/>
        </w:rPr>
        <w:t>.</w:t>
      </w:r>
    </w:p>
    <w:p w:rsidR="008930F8" w:rsidRDefault="008930F8" w:rsidP="001B4D6A">
      <w:pPr>
        <w:rPr>
          <w:rFonts w:ascii="Arial" w:hAnsi="Arial" w:cs="Arial"/>
          <w:b/>
          <w:bCs/>
          <w:iCs/>
          <w:sz w:val="28"/>
          <w:szCs w:val="22"/>
        </w:rPr>
      </w:pPr>
    </w:p>
    <w:p w:rsidR="004D2808" w:rsidRDefault="004D2808" w:rsidP="001B4D6A">
      <w:pPr>
        <w:rPr>
          <w:rFonts w:ascii="Arial" w:hAnsi="Arial" w:cs="Arial"/>
          <w:b/>
          <w:bCs/>
          <w:iCs/>
          <w:sz w:val="22"/>
          <w:szCs w:val="22"/>
        </w:rPr>
      </w:pPr>
      <w:r w:rsidRPr="00732BCB">
        <w:rPr>
          <w:rFonts w:ascii="Arial" w:hAnsi="Arial" w:cs="Arial"/>
          <w:b/>
          <w:bCs/>
          <w:iCs/>
          <w:sz w:val="28"/>
          <w:szCs w:val="22"/>
        </w:rPr>
        <w:t>Standard 3.D - Student Services</w:t>
      </w:r>
    </w:p>
    <w:p w:rsidR="00FF10C9" w:rsidRDefault="00FF10C9" w:rsidP="001B4D6A">
      <w:pPr>
        <w:rPr>
          <w:rFonts w:ascii="Arial" w:hAnsi="Arial" w:cs="Arial"/>
          <w:b/>
          <w:bCs/>
          <w:iCs/>
          <w:sz w:val="22"/>
          <w:szCs w:val="22"/>
        </w:rPr>
      </w:pPr>
    </w:p>
    <w:p w:rsidR="00FF10C9" w:rsidRPr="00732BCB" w:rsidRDefault="00FF10C9" w:rsidP="001B4D6A">
      <w:pPr>
        <w:rPr>
          <w:rFonts w:ascii="Arial" w:hAnsi="Arial" w:cs="Arial"/>
          <w:b/>
          <w:bCs/>
          <w:iCs/>
          <w:sz w:val="28"/>
          <w:szCs w:val="22"/>
        </w:rPr>
      </w:pPr>
      <w:r>
        <w:rPr>
          <w:rFonts w:ascii="Arial" w:hAnsi="Arial" w:cs="Arial"/>
          <w:b/>
          <w:bCs/>
          <w:iCs/>
          <w:sz w:val="22"/>
          <w:szCs w:val="22"/>
        </w:rPr>
        <w:t>The institution recruits and admits students qualified to complete its programs.  It fosters a supportive learning environment and provides services to support students’ achievement of their educational goals.</w:t>
      </w:r>
    </w:p>
    <w:p w:rsidR="00732BCB" w:rsidRDefault="00732BCB" w:rsidP="001B4D6A">
      <w:pPr>
        <w:rPr>
          <w:rFonts w:ascii="Arial" w:hAnsi="Arial" w:cs="Arial"/>
          <w:b/>
          <w:sz w:val="22"/>
          <w:szCs w:val="22"/>
        </w:rPr>
      </w:pPr>
    </w:p>
    <w:p w:rsidR="00FB2154" w:rsidRDefault="00FB2154" w:rsidP="001B4D6A">
      <w:pPr>
        <w:rPr>
          <w:rFonts w:ascii="Arial" w:hAnsi="Arial" w:cs="Arial"/>
          <w:b/>
          <w:sz w:val="22"/>
          <w:szCs w:val="22"/>
        </w:rPr>
      </w:pPr>
      <w:r w:rsidRPr="0037535C">
        <w:rPr>
          <w:rFonts w:ascii="Arial" w:hAnsi="Arial" w:cs="Arial"/>
          <w:b/>
          <w:sz w:val="22"/>
          <w:szCs w:val="22"/>
        </w:rPr>
        <w:t>3.D.1</w:t>
      </w:r>
      <w:r w:rsidRPr="0037535C">
        <w:rPr>
          <w:rFonts w:ascii="Arial" w:hAnsi="Arial" w:cs="Arial"/>
          <w:b/>
          <w:sz w:val="22"/>
          <w:szCs w:val="22"/>
        </w:rPr>
        <w:tab/>
        <w:t>The institution adopts student admission policies consistent with its mission. It specifies qualifications for admission to the institution and its programs, and it adheres to those policies in its admission practices.</w:t>
      </w:r>
    </w:p>
    <w:p w:rsidR="001718C0" w:rsidRDefault="001718C0" w:rsidP="001B4D6A">
      <w:pPr>
        <w:rPr>
          <w:rFonts w:ascii="Arial" w:hAnsi="Arial" w:cs="Arial"/>
          <w:b/>
          <w:sz w:val="22"/>
          <w:szCs w:val="22"/>
        </w:rPr>
      </w:pPr>
    </w:p>
    <w:p w:rsidR="00683608" w:rsidRPr="00A82AF0" w:rsidRDefault="00683608" w:rsidP="001B4D6A">
      <w:pPr>
        <w:pStyle w:val="BodyText"/>
        <w:rPr>
          <w:b/>
        </w:rPr>
      </w:pPr>
      <w:r w:rsidRPr="005C7336">
        <w:t>Montana Tech’s student admission po</w:t>
      </w:r>
      <w:r w:rsidR="007943C8" w:rsidRPr="005C7336">
        <w:t>licies are consistent with the college’s m</w:t>
      </w:r>
      <w:r w:rsidRPr="005C7336">
        <w:t xml:space="preserve">ission and strategic direction.  The institution clearly states these admission policies in its primary marketing, recruitment, and policy publications.  All admission policies are described in detail on </w:t>
      </w:r>
      <w:r w:rsidR="00013310" w:rsidRPr="005C7336">
        <w:t xml:space="preserve">pages 5 through 7 of </w:t>
      </w:r>
      <w:r w:rsidRPr="005C7336">
        <w:t>the 2009-</w:t>
      </w:r>
      <w:r w:rsidR="00CA076D" w:rsidRPr="005C7336">
        <w:t>2010</w:t>
      </w:r>
      <w:r w:rsidRPr="005C7336">
        <w:t xml:space="preserve"> </w:t>
      </w:r>
      <w:hyperlink r:id="rId45" w:history="1">
        <w:r w:rsidRPr="00A82AF0">
          <w:rPr>
            <w:rStyle w:val="Hyperlink"/>
          </w:rPr>
          <w:t>Catalog</w:t>
        </w:r>
      </w:hyperlink>
      <w:r w:rsidRPr="00A82AF0">
        <w:t>.</w:t>
      </w:r>
    </w:p>
    <w:p w:rsidR="00B3315C" w:rsidRPr="005C7336" w:rsidRDefault="00B3315C" w:rsidP="001B4D6A">
      <w:pPr>
        <w:pStyle w:val="BodyText"/>
      </w:pPr>
    </w:p>
    <w:p w:rsidR="00683608" w:rsidRPr="005C7336" w:rsidRDefault="00683608" w:rsidP="001B4D6A">
      <w:pPr>
        <w:pStyle w:val="BodyText"/>
      </w:pPr>
      <w:r w:rsidRPr="005C7336">
        <w:t>In its admissions policies and procedures, Montana Tech balances the need to ensure proper academic preparedness for student success with the need to provide access (as a public institution) to the citizens of Montana.  Montana Tech accomplishes this through a tiered admissions process that recognizes student preparedness and ability to benefit at the point of admission.</w:t>
      </w:r>
    </w:p>
    <w:p w:rsidR="00683608" w:rsidRPr="005C7336" w:rsidRDefault="00683608" w:rsidP="001B4D6A">
      <w:pPr>
        <w:pStyle w:val="BodyText"/>
      </w:pPr>
    </w:p>
    <w:p w:rsidR="00683608" w:rsidRPr="005C7336" w:rsidRDefault="00683608" w:rsidP="001B4D6A">
      <w:pPr>
        <w:pStyle w:val="BodyText"/>
      </w:pPr>
      <w:r w:rsidRPr="005C7336">
        <w:t>Montana Tech encourages all prospective students who are interested in attending to apply for admission.  Applications for admission are accepted from in-state, out-of-state, and foreign students.  The Enrollment Services Office has representatives available to assist full-time, part-time, early admit, non-degre</w:t>
      </w:r>
      <w:r w:rsidR="004663ED" w:rsidRPr="005C7336">
        <w:t>e, domestic</w:t>
      </w:r>
      <w:r w:rsidR="0033278B" w:rsidRPr="005C7336">
        <w:t>,</w:t>
      </w:r>
      <w:r w:rsidR="004663ED" w:rsidRPr="005C7336">
        <w:t xml:space="preserve"> and international</w:t>
      </w:r>
      <w:r w:rsidRPr="005C7336">
        <w:t xml:space="preserve"> applicants in the admission process.</w:t>
      </w:r>
    </w:p>
    <w:p w:rsidR="00683608" w:rsidRPr="005C7336" w:rsidRDefault="00683608" w:rsidP="001B4D6A">
      <w:pPr>
        <w:pStyle w:val="BodyText"/>
      </w:pPr>
      <w:r w:rsidRPr="005C7336">
        <w:t xml:space="preserve"> </w:t>
      </w:r>
    </w:p>
    <w:p w:rsidR="00FF10C9" w:rsidRPr="005C7336" w:rsidRDefault="00683608" w:rsidP="001B4D6A">
      <w:pPr>
        <w:pStyle w:val="BodyText"/>
      </w:pPr>
      <w:r w:rsidRPr="005C7336">
        <w:t>Montana Tech’s admission requirements v</w:t>
      </w:r>
      <w:r w:rsidR="004663ED" w:rsidRPr="005C7336">
        <w:t xml:space="preserve">ary depending upon the type of </w:t>
      </w:r>
      <w:r w:rsidRPr="005C7336">
        <w:t>applicant.</w:t>
      </w:r>
      <w:r w:rsidR="00886F52">
        <w:t xml:space="preserve">  </w:t>
      </w:r>
      <w:r w:rsidRPr="005C7336">
        <w:t>The Montana Tech Enrollment Services Office evaluates all applicants according to the policies outlined in the catalog.  Applicants not meeting these requirements may be admissible at the discretion of the Director of Enrollment Services within exception limitations provided within Montana Board of Regents Policy.  Students accepted under these</w:t>
      </w:r>
      <w:r w:rsidR="004663ED" w:rsidRPr="005C7336">
        <w:t xml:space="preserve"> conditi</w:t>
      </w:r>
      <w:r w:rsidR="00E4592A" w:rsidRPr="005C7336">
        <w:t>ons are classified as “At-R</w:t>
      </w:r>
      <w:r w:rsidR="0033278B" w:rsidRPr="005C7336">
        <w:t>isk,”</w:t>
      </w:r>
      <w:r w:rsidR="004663ED" w:rsidRPr="005C7336">
        <w:t xml:space="preserve"> are assigned to a</w:t>
      </w:r>
      <w:r w:rsidR="00C92393">
        <w:t>n</w:t>
      </w:r>
      <w:r w:rsidRPr="005C7336">
        <w:t xml:space="preserve"> “At-Risk” advisor, and are required to enroll in MT 1016 – College Success.  Transfer students who are admitted by exception are admitted on probation</w:t>
      </w:r>
      <w:r w:rsidR="0033278B" w:rsidRPr="005C7336">
        <w:t>.</w:t>
      </w:r>
      <w:r w:rsidR="004B3E26" w:rsidRPr="005C7336">
        <w:t xml:space="preserve"> </w:t>
      </w:r>
      <w:r w:rsidR="001522DA" w:rsidRPr="005C7336">
        <w:t>Students who do not meet undergraduate admission standards are encouraged to apply to the College of Technology or appeal based on their “abilty to benefit”.</w:t>
      </w:r>
      <w:r w:rsidR="004B3E26" w:rsidRPr="005C7336">
        <w:t xml:space="preserve"> </w:t>
      </w:r>
    </w:p>
    <w:p w:rsidR="001522DA" w:rsidRDefault="001522DA" w:rsidP="001B4D6A">
      <w:pPr>
        <w:pStyle w:val="BodyText"/>
      </w:pPr>
    </w:p>
    <w:p w:rsidR="005C7336" w:rsidRPr="00A82AF0" w:rsidRDefault="005C7336" w:rsidP="001B4D6A">
      <w:pPr>
        <w:pStyle w:val="BodyText"/>
      </w:pPr>
      <w:r w:rsidRPr="005C7336">
        <w:t>In Spring 2009, the Convicted Offender Applicant Decision Committee was charged with reviewing and admitting students with criminal backgrounds. It established a protocol to standardize the review, admit, or not admit process. A criminal applicant is scored by the Convicted Applicant Manager who uses a matrix based on the “Inquiry Into Student Disclosure Questionnaire” and three letters of reference. (</w:t>
      </w:r>
      <w:r w:rsidRPr="005C7336">
        <w:rPr>
          <w:rFonts w:cs="Arial"/>
          <w:szCs w:val="22"/>
        </w:rPr>
        <w:t>See Exhibit 3.D.I</w:t>
      </w:r>
      <w:r w:rsidRPr="00A82AF0">
        <w:rPr>
          <w:rFonts w:cs="Arial"/>
          <w:szCs w:val="22"/>
        </w:rPr>
        <w:t>:</w:t>
      </w:r>
      <w:r w:rsidRPr="00A82AF0">
        <w:rPr>
          <w:rFonts w:cs="Arial"/>
          <w:i/>
          <w:szCs w:val="22"/>
        </w:rPr>
        <w:t xml:space="preserve">  </w:t>
      </w:r>
      <w:hyperlink r:id="rId46" w:history="1">
        <w:r w:rsidRPr="00A82AF0">
          <w:rPr>
            <w:rStyle w:val="Hyperlink"/>
            <w:rFonts w:cs="Arial"/>
            <w:i/>
            <w:szCs w:val="22"/>
          </w:rPr>
          <w:t>Convicted Applicant Offender Decision Training Matrix</w:t>
        </w:r>
        <w:r w:rsidRPr="00A82AF0">
          <w:rPr>
            <w:rStyle w:val="Hyperlink"/>
            <w:i/>
          </w:rPr>
          <w:t>.</w:t>
        </w:r>
        <w:r w:rsidRPr="00A82AF0">
          <w:rPr>
            <w:rStyle w:val="Hyperlink"/>
          </w:rPr>
          <w:t>)</w:t>
        </w:r>
      </w:hyperlink>
    </w:p>
    <w:p w:rsidR="005C7336" w:rsidRDefault="005C7336" w:rsidP="001B4D6A">
      <w:pPr>
        <w:pStyle w:val="BodyText"/>
      </w:pPr>
    </w:p>
    <w:p w:rsidR="00A82AF0" w:rsidRPr="00C74C86" w:rsidRDefault="00A82AF0" w:rsidP="001B4D6A">
      <w:pPr>
        <w:pStyle w:val="BodyText"/>
      </w:pPr>
      <w:r w:rsidRPr="00C74C86">
        <w:t xml:space="preserve">The above-referenced process, created by the Convicted Offender Applicant Decision Committee, is very unique. The Committee was challenged to take a process which is inherently subjective (i.e., trying to evaluate the potential future risk posed by a student with a criminal background) and make admission decisions based thereon. By creating the Convicted </w:t>
      </w:r>
      <w:r w:rsidR="0063739C" w:rsidRPr="00C74C86">
        <w:t xml:space="preserve">Applicant </w:t>
      </w:r>
      <w:r w:rsidR="0063739C" w:rsidRPr="00C74C86">
        <w:lastRenderedPageBreak/>
        <w:t>Offender</w:t>
      </w:r>
      <w:r w:rsidRPr="00C74C86">
        <w:t xml:space="preserve"> Decision Training Matrix, the Committee imbued the evaluation process a welcome level of objectivity and consistency. However, even with the objectivity of the matrix, the Committee still meets, discusses</w:t>
      </w:r>
      <w:r w:rsidR="0072236E" w:rsidRPr="00C74C86">
        <w:t>,</w:t>
      </w:r>
      <w:r w:rsidRPr="00C74C86">
        <w:t xml:space="preserve"> and evaluates each applicant and their particular matrix score and particular applicant’s personal situation. </w:t>
      </w:r>
    </w:p>
    <w:p w:rsidR="001522DA" w:rsidRPr="00C74C86" w:rsidRDefault="001522DA" w:rsidP="001B4D6A">
      <w:pPr>
        <w:pStyle w:val="BodyText"/>
      </w:pPr>
    </w:p>
    <w:p w:rsidR="00A82AF0" w:rsidRDefault="00A82AF0" w:rsidP="001B4D6A">
      <w:pPr>
        <w:jc w:val="center"/>
        <w:rPr>
          <w:rFonts w:ascii="Arial" w:hAnsi="Arial" w:cs="Arial"/>
          <w:b/>
          <w:sz w:val="22"/>
          <w:szCs w:val="22"/>
        </w:rPr>
      </w:pPr>
    </w:p>
    <w:p w:rsidR="008F32D3" w:rsidRPr="00547BC2" w:rsidRDefault="004B3E26" w:rsidP="001B4D6A">
      <w:pPr>
        <w:jc w:val="center"/>
        <w:rPr>
          <w:rFonts w:ascii="Arial" w:hAnsi="Arial" w:cs="Arial"/>
          <w:b/>
          <w:sz w:val="22"/>
          <w:szCs w:val="22"/>
        </w:rPr>
      </w:pPr>
      <w:r w:rsidRPr="00547BC2">
        <w:rPr>
          <w:rFonts w:ascii="Arial" w:hAnsi="Arial" w:cs="Arial"/>
          <w:b/>
          <w:sz w:val="22"/>
          <w:szCs w:val="22"/>
        </w:rPr>
        <w:t xml:space="preserve">TABLE 3.D.I: </w:t>
      </w:r>
      <w:r w:rsidR="001522DA" w:rsidRPr="00547BC2">
        <w:rPr>
          <w:rFonts w:ascii="Arial" w:hAnsi="Arial" w:cs="Arial"/>
          <w:b/>
          <w:sz w:val="22"/>
          <w:szCs w:val="22"/>
        </w:rPr>
        <w:t xml:space="preserve">REQUIRED </w:t>
      </w:r>
      <w:r w:rsidRPr="00547BC2">
        <w:rPr>
          <w:rFonts w:ascii="Arial" w:hAnsi="Arial" w:cs="Arial"/>
          <w:b/>
          <w:sz w:val="22"/>
          <w:szCs w:val="22"/>
        </w:rPr>
        <w:t>ADMISSIONS REPORT</w:t>
      </w:r>
    </w:p>
    <w:p w:rsidR="005C7336" w:rsidRPr="005C7336" w:rsidRDefault="005C7336" w:rsidP="001B4D6A">
      <w:pPr>
        <w:pStyle w:val="BodyText"/>
      </w:pPr>
    </w:p>
    <w:tbl>
      <w:tblPr>
        <w:tblStyle w:val="TableGrid"/>
        <w:tblpPr w:leftFromText="180" w:rightFromText="180" w:vertAnchor="text" w:horzAnchor="page" w:tblpX="1907" w:tblpY="50"/>
        <w:tblW w:w="9288" w:type="dxa"/>
        <w:tblLayout w:type="fixed"/>
        <w:tblLook w:val="04A0"/>
      </w:tblPr>
      <w:tblGrid>
        <w:gridCol w:w="1576"/>
        <w:gridCol w:w="2160"/>
        <w:gridCol w:w="2160"/>
        <w:gridCol w:w="2160"/>
        <w:gridCol w:w="1232"/>
      </w:tblGrid>
      <w:tr w:rsidR="00176306" w:rsidRPr="00152A0A" w:rsidTr="00C2467C">
        <w:trPr>
          <w:trHeight w:val="20"/>
        </w:trPr>
        <w:tc>
          <w:tcPr>
            <w:tcW w:w="9288"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rsidR="00176306" w:rsidRPr="00152A0A" w:rsidRDefault="00176306" w:rsidP="001B4D6A">
            <w:pPr>
              <w:spacing w:before="120"/>
              <w:jc w:val="center"/>
              <w:rPr>
                <w:sz w:val="18"/>
                <w:szCs w:val="18"/>
              </w:rPr>
            </w:pPr>
            <w:r w:rsidRPr="00152A0A">
              <w:rPr>
                <w:b/>
                <w:sz w:val="18"/>
                <w:szCs w:val="18"/>
              </w:rPr>
              <w:t>STANDARD THREE – STUDENTS  ADMISSIONS REPORT</w:t>
            </w:r>
          </w:p>
          <w:p w:rsidR="00176306" w:rsidRPr="00152A0A" w:rsidRDefault="00176306" w:rsidP="001B4D6A">
            <w:pPr>
              <w:jc w:val="center"/>
              <w:rPr>
                <w:sz w:val="18"/>
                <w:szCs w:val="18"/>
              </w:rPr>
            </w:pPr>
          </w:p>
        </w:tc>
      </w:tr>
      <w:tr w:rsidR="00176306" w:rsidRPr="00152A0A" w:rsidTr="00C2467C">
        <w:trPr>
          <w:trHeight w:val="20"/>
        </w:trPr>
        <w:tc>
          <w:tcPr>
            <w:tcW w:w="1576" w:type="dxa"/>
            <w:tcBorders>
              <w:top w:val="single" w:sz="12" w:space="0" w:color="000000" w:themeColor="text1"/>
              <w:left w:val="single" w:sz="12" w:space="0" w:color="000000" w:themeColor="text1"/>
              <w:bottom w:val="single" w:sz="12" w:space="0" w:color="000000" w:themeColor="text1"/>
            </w:tcBorders>
          </w:tcPr>
          <w:p w:rsidR="00176306" w:rsidRPr="00152A0A" w:rsidRDefault="00176306" w:rsidP="001B4D6A">
            <w:pPr>
              <w:rPr>
                <w:sz w:val="18"/>
                <w:szCs w:val="18"/>
              </w:rPr>
            </w:pPr>
          </w:p>
          <w:p w:rsidR="00176306" w:rsidRPr="00152A0A" w:rsidRDefault="00176306" w:rsidP="001B4D6A">
            <w:pPr>
              <w:rPr>
                <w:sz w:val="18"/>
                <w:szCs w:val="18"/>
              </w:rPr>
            </w:pPr>
          </w:p>
          <w:p w:rsidR="00176306" w:rsidRPr="00152A0A" w:rsidRDefault="00176306" w:rsidP="001B4D6A">
            <w:pPr>
              <w:rPr>
                <w:sz w:val="18"/>
                <w:szCs w:val="18"/>
              </w:rPr>
            </w:pPr>
          </w:p>
        </w:tc>
        <w:tc>
          <w:tcPr>
            <w:tcW w:w="2160" w:type="dxa"/>
            <w:tcBorders>
              <w:top w:val="single" w:sz="12" w:space="0" w:color="000000" w:themeColor="text1"/>
              <w:bottom w:val="single" w:sz="12" w:space="0" w:color="000000" w:themeColor="text1"/>
            </w:tcBorders>
          </w:tcPr>
          <w:p w:rsidR="00176306" w:rsidRPr="00152A0A" w:rsidRDefault="00176306" w:rsidP="001B4D6A">
            <w:pPr>
              <w:jc w:val="center"/>
              <w:rPr>
                <w:sz w:val="18"/>
                <w:szCs w:val="18"/>
              </w:rPr>
            </w:pPr>
          </w:p>
          <w:p w:rsidR="00176306" w:rsidRPr="00152A0A" w:rsidRDefault="00176306" w:rsidP="001B4D6A">
            <w:pPr>
              <w:jc w:val="center"/>
              <w:rPr>
                <w:sz w:val="18"/>
                <w:szCs w:val="18"/>
              </w:rPr>
            </w:pPr>
            <w:r w:rsidRPr="00152A0A">
              <w:rPr>
                <w:sz w:val="18"/>
                <w:szCs w:val="18"/>
              </w:rPr>
              <w:t>Evaluation Year</w:t>
            </w:r>
          </w:p>
          <w:p w:rsidR="00176306" w:rsidRPr="00152A0A" w:rsidRDefault="00176306" w:rsidP="001B4D6A">
            <w:pPr>
              <w:jc w:val="center"/>
              <w:rPr>
                <w:sz w:val="18"/>
                <w:szCs w:val="18"/>
              </w:rPr>
            </w:pPr>
            <w:r w:rsidRPr="00152A0A">
              <w:rPr>
                <w:sz w:val="18"/>
                <w:szCs w:val="18"/>
              </w:rPr>
              <w:t xml:space="preserve"> (2009)</w:t>
            </w:r>
          </w:p>
        </w:tc>
        <w:tc>
          <w:tcPr>
            <w:tcW w:w="2160" w:type="dxa"/>
            <w:tcBorders>
              <w:top w:val="single" w:sz="12" w:space="0" w:color="000000" w:themeColor="text1"/>
              <w:bottom w:val="single" w:sz="12" w:space="0" w:color="000000" w:themeColor="text1"/>
            </w:tcBorders>
          </w:tcPr>
          <w:p w:rsidR="00176306" w:rsidRPr="00152A0A" w:rsidRDefault="00176306" w:rsidP="001B4D6A">
            <w:pPr>
              <w:jc w:val="center"/>
              <w:rPr>
                <w:sz w:val="18"/>
                <w:szCs w:val="18"/>
              </w:rPr>
            </w:pPr>
          </w:p>
          <w:p w:rsidR="00176306" w:rsidRPr="00152A0A" w:rsidRDefault="00176306" w:rsidP="001B4D6A">
            <w:pPr>
              <w:jc w:val="center"/>
              <w:rPr>
                <w:sz w:val="18"/>
                <w:szCs w:val="18"/>
              </w:rPr>
            </w:pPr>
            <w:r w:rsidRPr="00152A0A">
              <w:rPr>
                <w:sz w:val="18"/>
                <w:szCs w:val="18"/>
              </w:rPr>
              <w:t>1 Year Prior</w:t>
            </w:r>
          </w:p>
          <w:p w:rsidR="00176306" w:rsidRPr="00152A0A" w:rsidRDefault="00176306" w:rsidP="001B4D6A">
            <w:pPr>
              <w:jc w:val="center"/>
              <w:rPr>
                <w:sz w:val="18"/>
                <w:szCs w:val="18"/>
              </w:rPr>
            </w:pPr>
            <w:r w:rsidRPr="00152A0A">
              <w:rPr>
                <w:sz w:val="18"/>
                <w:szCs w:val="18"/>
              </w:rPr>
              <w:t>(2008)</w:t>
            </w:r>
          </w:p>
        </w:tc>
        <w:tc>
          <w:tcPr>
            <w:tcW w:w="2160" w:type="dxa"/>
            <w:tcBorders>
              <w:top w:val="single" w:sz="12" w:space="0" w:color="000000" w:themeColor="text1"/>
              <w:bottom w:val="single" w:sz="12" w:space="0" w:color="000000" w:themeColor="text1"/>
            </w:tcBorders>
          </w:tcPr>
          <w:p w:rsidR="00176306" w:rsidRPr="00152A0A" w:rsidRDefault="00176306" w:rsidP="001B4D6A">
            <w:pPr>
              <w:jc w:val="center"/>
              <w:rPr>
                <w:sz w:val="18"/>
                <w:szCs w:val="18"/>
              </w:rPr>
            </w:pPr>
          </w:p>
          <w:p w:rsidR="00176306" w:rsidRPr="00152A0A" w:rsidRDefault="00176306" w:rsidP="001B4D6A">
            <w:pPr>
              <w:jc w:val="center"/>
              <w:rPr>
                <w:sz w:val="18"/>
                <w:szCs w:val="18"/>
              </w:rPr>
            </w:pPr>
            <w:r w:rsidRPr="00152A0A">
              <w:rPr>
                <w:sz w:val="18"/>
                <w:szCs w:val="18"/>
              </w:rPr>
              <w:t xml:space="preserve">2 Years Prior </w:t>
            </w:r>
          </w:p>
          <w:p w:rsidR="00176306" w:rsidRPr="00152A0A" w:rsidRDefault="00176306" w:rsidP="001B4D6A">
            <w:pPr>
              <w:jc w:val="center"/>
              <w:rPr>
                <w:sz w:val="18"/>
                <w:szCs w:val="18"/>
              </w:rPr>
            </w:pPr>
            <w:r w:rsidRPr="00152A0A">
              <w:rPr>
                <w:sz w:val="18"/>
                <w:szCs w:val="18"/>
              </w:rPr>
              <w:t>(2007)</w:t>
            </w:r>
          </w:p>
        </w:tc>
        <w:tc>
          <w:tcPr>
            <w:tcW w:w="1232" w:type="dxa"/>
            <w:tcBorders>
              <w:top w:val="single" w:sz="12" w:space="0" w:color="000000" w:themeColor="text1"/>
              <w:bottom w:val="single" w:sz="12" w:space="0" w:color="auto"/>
              <w:right w:val="single" w:sz="12" w:space="0" w:color="000000" w:themeColor="text1"/>
            </w:tcBorders>
          </w:tcPr>
          <w:p w:rsidR="00176306" w:rsidRPr="00152A0A" w:rsidRDefault="00176306" w:rsidP="001B4D6A">
            <w:pPr>
              <w:jc w:val="center"/>
              <w:rPr>
                <w:sz w:val="18"/>
                <w:szCs w:val="18"/>
              </w:rPr>
            </w:pPr>
          </w:p>
          <w:p w:rsidR="00176306" w:rsidRPr="00152A0A" w:rsidRDefault="00176306" w:rsidP="001B4D6A">
            <w:pPr>
              <w:jc w:val="center"/>
              <w:rPr>
                <w:sz w:val="18"/>
                <w:szCs w:val="18"/>
              </w:rPr>
            </w:pPr>
            <w:r w:rsidRPr="00152A0A">
              <w:rPr>
                <w:sz w:val="18"/>
                <w:szCs w:val="18"/>
              </w:rPr>
              <w:t xml:space="preserve">3 Years Prior </w:t>
            </w:r>
          </w:p>
          <w:p w:rsidR="00176306" w:rsidRPr="00152A0A" w:rsidRDefault="00176306" w:rsidP="001B4D6A">
            <w:pPr>
              <w:jc w:val="center"/>
              <w:rPr>
                <w:sz w:val="18"/>
                <w:szCs w:val="18"/>
              </w:rPr>
            </w:pPr>
            <w:r w:rsidRPr="00152A0A">
              <w:rPr>
                <w:sz w:val="18"/>
                <w:szCs w:val="18"/>
              </w:rPr>
              <w:t>(2006)</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First Time Freshmen</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1012</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1053</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1146</w:t>
            </w:r>
          </w:p>
        </w:tc>
        <w:tc>
          <w:tcPr>
            <w:tcW w:w="1232" w:type="dxa"/>
            <w:tcBorders>
              <w:top w:val="single" w:sz="12" w:space="0" w:color="auto"/>
              <w:right w:val="single" w:sz="12" w:space="0" w:color="000000" w:themeColor="text1"/>
            </w:tcBorders>
          </w:tcPr>
          <w:p w:rsidR="00176306" w:rsidRPr="00152A0A" w:rsidRDefault="00176306" w:rsidP="001B4D6A">
            <w:pPr>
              <w:jc w:val="center"/>
              <w:rPr>
                <w:sz w:val="18"/>
                <w:szCs w:val="18"/>
              </w:rPr>
            </w:pPr>
            <w:r w:rsidRPr="00152A0A">
              <w:rPr>
                <w:sz w:val="18"/>
                <w:szCs w:val="18"/>
              </w:rPr>
              <w:t>1023</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887</w:t>
            </w:r>
          </w:p>
        </w:tc>
        <w:tc>
          <w:tcPr>
            <w:tcW w:w="2160" w:type="dxa"/>
          </w:tcPr>
          <w:p w:rsidR="00176306" w:rsidRPr="00152A0A" w:rsidRDefault="00176306" w:rsidP="001B4D6A">
            <w:pPr>
              <w:jc w:val="center"/>
              <w:rPr>
                <w:sz w:val="18"/>
                <w:szCs w:val="18"/>
              </w:rPr>
            </w:pPr>
            <w:r w:rsidRPr="00152A0A">
              <w:rPr>
                <w:sz w:val="18"/>
                <w:szCs w:val="18"/>
              </w:rPr>
              <w:t>948</w:t>
            </w:r>
          </w:p>
        </w:tc>
        <w:tc>
          <w:tcPr>
            <w:tcW w:w="2160" w:type="dxa"/>
          </w:tcPr>
          <w:p w:rsidR="00176306" w:rsidRPr="00152A0A" w:rsidRDefault="00176306" w:rsidP="001B4D6A">
            <w:pPr>
              <w:jc w:val="center"/>
              <w:rPr>
                <w:sz w:val="18"/>
                <w:szCs w:val="18"/>
              </w:rPr>
            </w:pPr>
            <w:r w:rsidRPr="00152A0A">
              <w:rPr>
                <w:sz w:val="18"/>
                <w:szCs w:val="18"/>
              </w:rPr>
              <w:t>873</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880</w:t>
            </w:r>
          </w:p>
        </w:tc>
      </w:tr>
      <w:tr w:rsidR="00176306" w:rsidRPr="00152A0A" w:rsidTr="00C2467C">
        <w:trPr>
          <w:cantSplit/>
          <w:trHeight w:val="20"/>
        </w:trPr>
        <w:tc>
          <w:tcPr>
            <w:tcW w:w="1576" w:type="dxa"/>
            <w:tcBorders>
              <w:left w:val="single" w:sz="12" w:space="0" w:color="000000" w:themeColor="text1"/>
            </w:tcBorders>
            <w:vAlign w:val="center"/>
          </w:tcPr>
          <w:p w:rsidR="00176306" w:rsidRPr="00152A0A" w:rsidRDefault="00176306" w:rsidP="001B4D6A">
            <w:pPr>
              <w:jc w:val="center"/>
              <w:rPr>
                <w:sz w:val="18"/>
                <w:szCs w:val="18"/>
              </w:rPr>
            </w:pPr>
            <w:r w:rsidRPr="00152A0A">
              <w:rPr>
                <w:sz w:val="18"/>
                <w:szCs w:val="18"/>
              </w:rPr>
              <w:t>Denied</w:t>
            </w:r>
          </w:p>
        </w:tc>
        <w:tc>
          <w:tcPr>
            <w:tcW w:w="2160" w:type="dxa"/>
          </w:tcPr>
          <w:p w:rsidR="00176306" w:rsidRPr="00152A0A" w:rsidRDefault="00BD2E53" w:rsidP="001B4D6A">
            <w:pPr>
              <w:jc w:val="center"/>
              <w:rPr>
                <w:sz w:val="18"/>
                <w:szCs w:val="18"/>
              </w:rPr>
            </w:pPr>
            <w:r>
              <w:rPr>
                <w:sz w:val="18"/>
                <w:szCs w:val="18"/>
              </w:rPr>
              <w:t>27</w:t>
            </w:r>
          </w:p>
        </w:tc>
        <w:tc>
          <w:tcPr>
            <w:tcW w:w="2160" w:type="dxa"/>
          </w:tcPr>
          <w:p w:rsidR="00176306" w:rsidRPr="00152A0A" w:rsidRDefault="00BD2E53" w:rsidP="001B4D6A">
            <w:pPr>
              <w:jc w:val="center"/>
              <w:rPr>
                <w:sz w:val="18"/>
                <w:szCs w:val="18"/>
              </w:rPr>
            </w:pPr>
            <w:r>
              <w:rPr>
                <w:sz w:val="18"/>
                <w:szCs w:val="18"/>
              </w:rPr>
              <w:t>19</w:t>
            </w:r>
          </w:p>
        </w:tc>
        <w:tc>
          <w:tcPr>
            <w:tcW w:w="2160" w:type="dxa"/>
          </w:tcPr>
          <w:p w:rsidR="00176306" w:rsidRPr="00152A0A" w:rsidRDefault="00BD2E53" w:rsidP="001B4D6A">
            <w:pPr>
              <w:jc w:val="center"/>
              <w:rPr>
                <w:sz w:val="18"/>
                <w:szCs w:val="18"/>
              </w:rPr>
            </w:pPr>
            <w:r>
              <w:rPr>
                <w:sz w:val="18"/>
                <w:szCs w:val="18"/>
              </w:rPr>
              <w:t>28</w:t>
            </w:r>
          </w:p>
        </w:tc>
        <w:tc>
          <w:tcPr>
            <w:tcW w:w="1232" w:type="dxa"/>
            <w:tcBorders>
              <w:right w:val="single" w:sz="12" w:space="0" w:color="000000" w:themeColor="text1"/>
            </w:tcBorders>
          </w:tcPr>
          <w:p w:rsidR="00176306" w:rsidRPr="00152A0A" w:rsidRDefault="00BD2E53" w:rsidP="001B4D6A">
            <w:pPr>
              <w:jc w:val="center"/>
              <w:rPr>
                <w:sz w:val="18"/>
                <w:szCs w:val="18"/>
              </w:rPr>
            </w:pPr>
            <w:r>
              <w:rPr>
                <w:sz w:val="18"/>
                <w:szCs w:val="18"/>
              </w:rPr>
              <w:t>19</w:t>
            </w: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615</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573</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535</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542</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Transfer</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546</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472</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490</w:t>
            </w: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452</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446</w:t>
            </w:r>
          </w:p>
        </w:tc>
        <w:tc>
          <w:tcPr>
            <w:tcW w:w="2160" w:type="dxa"/>
          </w:tcPr>
          <w:p w:rsidR="00176306" w:rsidRPr="00152A0A" w:rsidRDefault="00176306" w:rsidP="001B4D6A">
            <w:pPr>
              <w:jc w:val="center"/>
              <w:rPr>
                <w:sz w:val="18"/>
                <w:szCs w:val="18"/>
              </w:rPr>
            </w:pPr>
            <w:r w:rsidRPr="00152A0A">
              <w:rPr>
                <w:sz w:val="18"/>
                <w:szCs w:val="18"/>
              </w:rPr>
              <w:t>376</w:t>
            </w:r>
          </w:p>
        </w:tc>
        <w:tc>
          <w:tcPr>
            <w:tcW w:w="2160" w:type="dxa"/>
          </w:tcPr>
          <w:p w:rsidR="00176306" w:rsidRPr="00152A0A" w:rsidRDefault="00176306" w:rsidP="001B4D6A">
            <w:pPr>
              <w:jc w:val="center"/>
              <w:rPr>
                <w:sz w:val="18"/>
                <w:szCs w:val="18"/>
              </w:rPr>
            </w:pPr>
            <w:r w:rsidRPr="00152A0A">
              <w:rPr>
                <w:sz w:val="18"/>
                <w:szCs w:val="18"/>
              </w:rPr>
              <w:t>391</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350</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jc w:val="center"/>
              <w:rPr>
                <w:sz w:val="18"/>
                <w:szCs w:val="18"/>
              </w:rPr>
            </w:pPr>
            <w:r w:rsidRPr="00152A0A">
              <w:rPr>
                <w:sz w:val="18"/>
                <w:szCs w:val="18"/>
              </w:rPr>
              <w:t>Denied</w:t>
            </w:r>
          </w:p>
        </w:tc>
        <w:tc>
          <w:tcPr>
            <w:tcW w:w="2160" w:type="dxa"/>
          </w:tcPr>
          <w:p w:rsidR="00176306" w:rsidRPr="00152A0A" w:rsidRDefault="00BD2E53" w:rsidP="001B4D6A">
            <w:pPr>
              <w:jc w:val="center"/>
              <w:rPr>
                <w:sz w:val="18"/>
                <w:szCs w:val="18"/>
              </w:rPr>
            </w:pPr>
            <w:r>
              <w:rPr>
                <w:sz w:val="18"/>
                <w:szCs w:val="18"/>
              </w:rPr>
              <w:t>2</w:t>
            </w:r>
          </w:p>
        </w:tc>
        <w:tc>
          <w:tcPr>
            <w:tcW w:w="2160" w:type="dxa"/>
          </w:tcPr>
          <w:p w:rsidR="00176306" w:rsidRPr="00152A0A" w:rsidRDefault="00BD2E53" w:rsidP="001B4D6A">
            <w:pPr>
              <w:jc w:val="center"/>
              <w:rPr>
                <w:sz w:val="18"/>
                <w:szCs w:val="18"/>
              </w:rPr>
            </w:pPr>
            <w:r>
              <w:rPr>
                <w:sz w:val="18"/>
                <w:szCs w:val="18"/>
              </w:rPr>
              <w:t>2</w:t>
            </w:r>
          </w:p>
        </w:tc>
        <w:tc>
          <w:tcPr>
            <w:tcW w:w="2160" w:type="dxa"/>
          </w:tcPr>
          <w:p w:rsidR="00176306" w:rsidRPr="00152A0A" w:rsidRDefault="00BD2E53" w:rsidP="001B4D6A">
            <w:pPr>
              <w:jc w:val="center"/>
              <w:rPr>
                <w:sz w:val="18"/>
                <w:szCs w:val="18"/>
              </w:rPr>
            </w:pPr>
            <w:r>
              <w:rPr>
                <w:sz w:val="18"/>
                <w:szCs w:val="18"/>
              </w:rPr>
              <w:t>1</w:t>
            </w:r>
          </w:p>
        </w:tc>
        <w:tc>
          <w:tcPr>
            <w:tcW w:w="1232" w:type="dxa"/>
            <w:tcBorders>
              <w:right w:val="single" w:sz="12" w:space="0" w:color="000000" w:themeColor="text1"/>
            </w:tcBorders>
          </w:tcPr>
          <w:p w:rsidR="00176306" w:rsidRPr="00152A0A" w:rsidRDefault="00BD2E53" w:rsidP="001B4D6A">
            <w:pPr>
              <w:jc w:val="center"/>
              <w:rPr>
                <w:sz w:val="18"/>
                <w:szCs w:val="18"/>
              </w:rPr>
            </w:pPr>
            <w:r>
              <w:rPr>
                <w:sz w:val="18"/>
                <w:szCs w:val="18"/>
              </w:rPr>
              <w:t>3</w:t>
            </w: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ind w:left="-144" w:right="-144"/>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337</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247</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253</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246</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Readmission</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404</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344</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419</w:t>
            </w: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399</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382</w:t>
            </w:r>
          </w:p>
        </w:tc>
        <w:tc>
          <w:tcPr>
            <w:tcW w:w="2160" w:type="dxa"/>
          </w:tcPr>
          <w:p w:rsidR="00176306" w:rsidRPr="00152A0A" w:rsidRDefault="00176306" w:rsidP="001B4D6A">
            <w:pPr>
              <w:jc w:val="center"/>
              <w:rPr>
                <w:sz w:val="18"/>
                <w:szCs w:val="18"/>
              </w:rPr>
            </w:pPr>
            <w:r w:rsidRPr="00152A0A">
              <w:rPr>
                <w:sz w:val="18"/>
                <w:szCs w:val="18"/>
              </w:rPr>
              <w:t>332</w:t>
            </w:r>
          </w:p>
        </w:tc>
        <w:tc>
          <w:tcPr>
            <w:tcW w:w="2160" w:type="dxa"/>
          </w:tcPr>
          <w:p w:rsidR="00176306" w:rsidRPr="00152A0A" w:rsidRDefault="00176306" w:rsidP="001B4D6A">
            <w:pPr>
              <w:jc w:val="center"/>
              <w:rPr>
                <w:sz w:val="18"/>
                <w:szCs w:val="18"/>
              </w:rPr>
            </w:pPr>
            <w:r w:rsidRPr="00152A0A">
              <w:rPr>
                <w:sz w:val="18"/>
                <w:szCs w:val="18"/>
              </w:rPr>
              <w:t>408</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376</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right="144"/>
              <w:jc w:val="center"/>
              <w:rPr>
                <w:sz w:val="18"/>
                <w:szCs w:val="18"/>
              </w:rPr>
            </w:pPr>
            <w:r w:rsidRPr="00152A0A">
              <w:rPr>
                <w:sz w:val="18"/>
                <w:szCs w:val="18"/>
              </w:rPr>
              <w:t>Denied</w:t>
            </w: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1232" w:type="dxa"/>
            <w:tcBorders>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284</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226</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286</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272</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Graduate</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223</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149</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153</w:t>
            </w: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124</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52</w:t>
            </w:r>
          </w:p>
        </w:tc>
        <w:tc>
          <w:tcPr>
            <w:tcW w:w="2160" w:type="dxa"/>
          </w:tcPr>
          <w:p w:rsidR="00176306" w:rsidRPr="00152A0A" w:rsidRDefault="00176306" w:rsidP="001B4D6A">
            <w:pPr>
              <w:jc w:val="center"/>
              <w:rPr>
                <w:sz w:val="18"/>
                <w:szCs w:val="18"/>
              </w:rPr>
            </w:pPr>
            <w:r w:rsidRPr="00152A0A">
              <w:rPr>
                <w:sz w:val="18"/>
                <w:szCs w:val="18"/>
              </w:rPr>
              <w:t>50</w:t>
            </w:r>
          </w:p>
        </w:tc>
        <w:tc>
          <w:tcPr>
            <w:tcW w:w="2160" w:type="dxa"/>
          </w:tcPr>
          <w:p w:rsidR="00176306" w:rsidRPr="00152A0A" w:rsidRDefault="00176306" w:rsidP="001B4D6A">
            <w:pPr>
              <w:jc w:val="center"/>
              <w:rPr>
                <w:sz w:val="18"/>
                <w:szCs w:val="18"/>
              </w:rPr>
            </w:pPr>
            <w:r w:rsidRPr="00152A0A">
              <w:rPr>
                <w:sz w:val="18"/>
                <w:szCs w:val="18"/>
              </w:rPr>
              <w:t>49</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36</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288" w:right="432"/>
              <w:jc w:val="center"/>
              <w:rPr>
                <w:sz w:val="18"/>
                <w:szCs w:val="18"/>
              </w:rPr>
            </w:pPr>
            <w:r w:rsidRPr="00152A0A">
              <w:rPr>
                <w:sz w:val="18"/>
                <w:szCs w:val="18"/>
              </w:rPr>
              <w:t>Denied</w:t>
            </w:r>
          </w:p>
        </w:tc>
        <w:tc>
          <w:tcPr>
            <w:tcW w:w="2160" w:type="dxa"/>
          </w:tcPr>
          <w:p w:rsidR="00176306" w:rsidRPr="00152A0A" w:rsidRDefault="00176306" w:rsidP="001B4D6A">
            <w:pPr>
              <w:jc w:val="center"/>
              <w:rPr>
                <w:sz w:val="18"/>
                <w:szCs w:val="18"/>
              </w:rPr>
            </w:pPr>
            <w:r w:rsidRPr="00152A0A">
              <w:rPr>
                <w:sz w:val="18"/>
                <w:szCs w:val="18"/>
              </w:rPr>
              <w:t>27</w:t>
            </w:r>
          </w:p>
        </w:tc>
        <w:tc>
          <w:tcPr>
            <w:tcW w:w="2160" w:type="dxa"/>
          </w:tcPr>
          <w:p w:rsidR="00176306" w:rsidRPr="00152A0A" w:rsidRDefault="00176306" w:rsidP="001B4D6A">
            <w:pPr>
              <w:jc w:val="center"/>
              <w:rPr>
                <w:sz w:val="18"/>
                <w:szCs w:val="18"/>
              </w:rPr>
            </w:pPr>
            <w:r w:rsidRPr="00152A0A">
              <w:rPr>
                <w:sz w:val="18"/>
                <w:szCs w:val="18"/>
              </w:rPr>
              <w:t>16</w:t>
            </w:r>
          </w:p>
        </w:tc>
        <w:tc>
          <w:tcPr>
            <w:tcW w:w="2160" w:type="dxa"/>
          </w:tcPr>
          <w:p w:rsidR="00176306" w:rsidRPr="00152A0A" w:rsidRDefault="00176306" w:rsidP="001B4D6A">
            <w:pPr>
              <w:jc w:val="center"/>
              <w:rPr>
                <w:sz w:val="18"/>
                <w:szCs w:val="18"/>
              </w:rPr>
            </w:pPr>
            <w:r w:rsidRPr="00152A0A">
              <w:rPr>
                <w:sz w:val="18"/>
                <w:szCs w:val="18"/>
              </w:rPr>
              <w:t>16</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8</w:t>
            </w: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47</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46</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45</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32</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Professional</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p>
        </w:tc>
        <w:tc>
          <w:tcPr>
            <w:tcW w:w="2160" w:type="dxa"/>
            <w:tcBorders>
              <w:top w:val="single" w:sz="12" w:space="0" w:color="000000" w:themeColor="text1"/>
            </w:tcBorders>
          </w:tcPr>
          <w:p w:rsidR="00176306" w:rsidRPr="00152A0A" w:rsidRDefault="00176306" w:rsidP="001B4D6A">
            <w:pPr>
              <w:jc w:val="center"/>
              <w:rPr>
                <w:sz w:val="18"/>
                <w:szCs w:val="18"/>
              </w:rPr>
            </w:pPr>
          </w:p>
        </w:tc>
        <w:tc>
          <w:tcPr>
            <w:tcW w:w="2160" w:type="dxa"/>
            <w:tcBorders>
              <w:top w:val="single" w:sz="12" w:space="0" w:color="000000" w:themeColor="text1"/>
            </w:tcBorders>
          </w:tcPr>
          <w:p w:rsidR="00176306" w:rsidRPr="00152A0A" w:rsidRDefault="00176306" w:rsidP="001B4D6A">
            <w:pPr>
              <w:jc w:val="center"/>
              <w:rPr>
                <w:sz w:val="18"/>
                <w:szCs w:val="18"/>
              </w:rPr>
            </w:pP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1232" w:type="dxa"/>
            <w:tcBorders>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jc w:val="center"/>
              <w:rPr>
                <w:sz w:val="18"/>
                <w:szCs w:val="18"/>
              </w:rPr>
            </w:pPr>
            <w:r w:rsidRPr="00152A0A">
              <w:rPr>
                <w:sz w:val="18"/>
                <w:szCs w:val="18"/>
              </w:rPr>
              <w:t>Denied</w:t>
            </w: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1232" w:type="dxa"/>
            <w:tcBorders>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p>
        </w:tc>
        <w:tc>
          <w:tcPr>
            <w:tcW w:w="2160" w:type="dxa"/>
            <w:tcBorders>
              <w:bottom w:val="single" w:sz="12" w:space="0" w:color="000000" w:themeColor="text1"/>
            </w:tcBorders>
          </w:tcPr>
          <w:p w:rsidR="00176306" w:rsidRPr="00152A0A" w:rsidRDefault="00176306" w:rsidP="001B4D6A">
            <w:pPr>
              <w:jc w:val="center"/>
              <w:rPr>
                <w:sz w:val="18"/>
                <w:szCs w:val="18"/>
              </w:rPr>
            </w:pPr>
          </w:p>
        </w:tc>
        <w:tc>
          <w:tcPr>
            <w:tcW w:w="2160" w:type="dxa"/>
            <w:tcBorders>
              <w:bottom w:val="single" w:sz="12" w:space="0" w:color="000000" w:themeColor="text1"/>
            </w:tcBorders>
          </w:tcPr>
          <w:p w:rsidR="00176306" w:rsidRPr="00152A0A" w:rsidRDefault="00176306" w:rsidP="001B4D6A">
            <w:pPr>
              <w:jc w:val="center"/>
              <w:rPr>
                <w:sz w:val="18"/>
                <w:szCs w:val="18"/>
              </w:rPr>
            </w:pP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Non Degree</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423</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374</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497</w:t>
            </w: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614</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404</w:t>
            </w:r>
          </w:p>
        </w:tc>
        <w:tc>
          <w:tcPr>
            <w:tcW w:w="2160" w:type="dxa"/>
          </w:tcPr>
          <w:p w:rsidR="00176306" w:rsidRPr="00152A0A" w:rsidRDefault="00176306" w:rsidP="001B4D6A">
            <w:pPr>
              <w:jc w:val="center"/>
              <w:rPr>
                <w:sz w:val="18"/>
                <w:szCs w:val="18"/>
                <w:highlight w:val="yellow"/>
              </w:rPr>
            </w:pPr>
            <w:r w:rsidRPr="00152A0A">
              <w:rPr>
                <w:sz w:val="18"/>
                <w:szCs w:val="18"/>
              </w:rPr>
              <w:t>353</w:t>
            </w:r>
          </w:p>
        </w:tc>
        <w:tc>
          <w:tcPr>
            <w:tcW w:w="2160" w:type="dxa"/>
          </w:tcPr>
          <w:p w:rsidR="00176306" w:rsidRPr="00152A0A" w:rsidRDefault="00176306" w:rsidP="001B4D6A">
            <w:pPr>
              <w:jc w:val="center"/>
              <w:rPr>
                <w:sz w:val="18"/>
                <w:szCs w:val="18"/>
              </w:rPr>
            </w:pPr>
            <w:r w:rsidRPr="00152A0A">
              <w:rPr>
                <w:sz w:val="18"/>
                <w:szCs w:val="18"/>
              </w:rPr>
              <w:t>458</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578</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jc w:val="center"/>
              <w:rPr>
                <w:sz w:val="18"/>
                <w:szCs w:val="18"/>
              </w:rPr>
            </w:pPr>
            <w:r w:rsidRPr="00152A0A">
              <w:rPr>
                <w:sz w:val="18"/>
                <w:szCs w:val="18"/>
              </w:rPr>
              <w:t>Denied</w:t>
            </w: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1232" w:type="dxa"/>
            <w:tcBorders>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58"/>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296</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257</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310</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426</w:t>
            </w:r>
          </w:p>
        </w:tc>
      </w:tr>
    </w:tbl>
    <w:p w:rsidR="008F32D3" w:rsidRPr="00152A0A" w:rsidRDefault="008F32D3" w:rsidP="001B4D6A">
      <w:pPr>
        <w:pStyle w:val="BodyText"/>
      </w:pPr>
    </w:p>
    <w:p w:rsidR="008F32D3" w:rsidRPr="00152A0A" w:rsidRDefault="008F32D3" w:rsidP="001B4D6A">
      <w:pPr>
        <w:pStyle w:val="BodyText"/>
      </w:pPr>
    </w:p>
    <w:p w:rsidR="009F6EC8" w:rsidRDefault="009F6EC8" w:rsidP="001B4D6A">
      <w:pPr>
        <w:pStyle w:val="BodyText"/>
      </w:pPr>
    </w:p>
    <w:p w:rsidR="00DA2853" w:rsidRPr="00547BC2" w:rsidRDefault="00F7141F" w:rsidP="001B4D6A">
      <w:pPr>
        <w:rPr>
          <w:rFonts w:ascii="Arial" w:hAnsi="Arial" w:cs="Arial"/>
          <w:b/>
          <w:sz w:val="22"/>
          <w:szCs w:val="22"/>
        </w:rPr>
      </w:pPr>
      <w:r w:rsidRPr="00547BC2">
        <w:rPr>
          <w:rFonts w:ascii="Arial" w:hAnsi="Arial" w:cs="Arial"/>
          <w:b/>
          <w:sz w:val="22"/>
          <w:szCs w:val="22"/>
        </w:rPr>
        <w:lastRenderedPageBreak/>
        <w:t>3.D.2</w:t>
      </w:r>
      <w:r w:rsidR="00113B3B" w:rsidRPr="00547BC2">
        <w:rPr>
          <w:rFonts w:ascii="Arial" w:hAnsi="Arial" w:cs="Arial"/>
          <w:b/>
          <w:sz w:val="22"/>
          <w:szCs w:val="22"/>
        </w:rPr>
        <w:t xml:space="preserve">  </w:t>
      </w:r>
      <w:r w:rsidR="00DA2853" w:rsidRPr="00547BC2">
        <w:rPr>
          <w:rFonts w:ascii="Arial" w:hAnsi="Arial" w:cs="Arial"/>
          <w:b/>
          <w:sz w:val="22"/>
          <w:szCs w:val="22"/>
        </w:rPr>
        <w:t>The institution, in keeping with its mission and admission policy, gives attention to the needs and characteristics of its student body with conscious attention to such factors as ethnic, socioeconomic, and religious diversity while demonstrating regard for students’ rights and responsibilities.</w:t>
      </w:r>
    </w:p>
    <w:p w:rsidR="00DA2853" w:rsidRDefault="00DA2853" w:rsidP="001B4D6A">
      <w:pPr>
        <w:rPr>
          <w:rFonts w:ascii="Arial" w:hAnsi="Arial" w:cs="Arial"/>
          <w:b/>
          <w:sz w:val="22"/>
          <w:szCs w:val="22"/>
        </w:rPr>
      </w:pPr>
    </w:p>
    <w:p w:rsidR="00DA2853" w:rsidRPr="00547BC2" w:rsidRDefault="00DA2853" w:rsidP="001B4D6A">
      <w:pPr>
        <w:pStyle w:val="BodyText"/>
      </w:pPr>
      <w:r w:rsidRPr="00547BC2">
        <w:t xml:space="preserve">Montana Tech does not discriminate against any students based on sex, marital or parental status, race, </w:t>
      </w:r>
      <w:r w:rsidR="000C64B0" w:rsidRPr="00547BC2">
        <w:t xml:space="preserve">on </w:t>
      </w:r>
      <w:r w:rsidRPr="00547BC2">
        <w:t xml:space="preserve">color, religion, age, or </w:t>
      </w:r>
      <w:r w:rsidR="000C64B0" w:rsidRPr="00547BC2">
        <w:t xml:space="preserve">on </w:t>
      </w:r>
      <w:r w:rsidRPr="00547BC2">
        <w:t>national origin.  A non-discrimination statement is included on page 3 of the Montana Tech</w:t>
      </w:r>
      <w:r w:rsidR="001A6CDA" w:rsidRPr="00547BC2">
        <w:t xml:space="preserve"> 2009</w:t>
      </w:r>
      <w:r w:rsidRPr="00547BC2">
        <w:t>-20</w:t>
      </w:r>
      <w:r w:rsidR="001A6CDA" w:rsidRPr="00547BC2">
        <w:t>10</w:t>
      </w:r>
      <w:r w:rsidRPr="00547BC2">
        <w:t xml:space="preserve"> Catalog.</w:t>
      </w:r>
    </w:p>
    <w:p w:rsidR="00E855CE" w:rsidRPr="00E91F32" w:rsidRDefault="00E855CE" w:rsidP="001B4D6A">
      <w:pPr>
        <w:pStyle w:val="BodyText"/>
      </w:pPr>
    </w:p>
    <w:p w:rsidR="004B3E47" w:rsidRPr="004B3E47" w:rsidRDefault="004B3E47" w:rsidP="001B4D6A">
      <w:pPr>
        <w:rPr>
          <w:rFonts w:ascii="Arial" w:hAnsi="Arial" w:cs="Arial"/>
          <w:sz w:val="22"/>
          <w:szCs w:val="22"/>
        </w:rPr>
      </w:pPr>
      <w:r w:rsidRPr="004B3E47">
        <w:rPr>
          <w:rFonts w:ascii="Arial" w:hAnsi="Arial" w:cs="Arial"/>
          <w:sz w:val="22"/>
          <w:szCs w:val="22"/>
        </w:rPr>
        <w:t xml:space="preserve">Montana Tech’s </w:t>
      </w:r>
      <w:r w:rsidRPr="004B3E47">
        <w:rPr>
          <w:rFonts w:ascii="Arial" w:hAnsi="Arial" w:cs="Arial"/>
          <w:sz w:val="22"/>
          <w:szCs w:val="22"/>
          <w:u w:val="single"/>
        </w:rPr>
        <w:t>S</w:t>
      </w:r>
      <w:r w:rsidRPr="004B3E47">
        <w:rPr>
          <w:rFonts w:ascii="Arial" w:hAnsi="Arial" w:cs="Arial"/>
          <w:sz w:val="22"/>
          <w:szCs w:val="22"/>
        </w:rPr>
        <w:t xml:space="preserve">ucceeding </w:t>
      </w:r>
      <w:r w:rsidRPr="004B3E47">
        <w:rPr>
          <w:rFonts w:ascii="Arial" w:hAnsi="Arial" w:cs="Arial"/>
          <w:sz w:val="22"/>
          <w:szCs w:val="22"/>
          <w:u w:val="single"/>
        </w:rPr>
        <w:t>St</w:t>
      </w:r>
      <w:r w:rsidRPr="004B3E47">
        <w:rPr>
          <w:rFonts w:ascii="Arial" w:hAnsi="Arial" w:cs="Arial"/>
          <w:sz w:val="22"/>
          <w:szCs w:val="22"/>
        </w:rPr>
        <w:t xml:space="preserve">udents in </w:t>
      </w:r>
      <w:r w:rsidRPr="004B3E47">
        <w:rPr>
          <w:rFonts w:ascii="Arial" w:hAnsi="Arial" w:cs="Arial"/>
          <w:sz w:val="22"/>
          <w:szCs w:val="22"/>
          <w:u w:val="single"/>
        </w:rPr>
        <w:t>E</w:t>
      </w:r>
      <w:r w:rsidRPr="004B3E47">
        <w:rPr>
          <w:rFonts w:ascii="Arial" w:hAnsi="Arial" w:cs="Arial"/>
          <w:sz w:val="22"/>
          <w:szCs w:val="22"/>
        </w:rPr>
        <w:t xml:space="preserve">ngineering </w:t>
      </w:r>
      <w:r w:rsidRPr="004B3E47">
        <w:rPr>
          <w:rFonts w:ascii="Arial" w:hAnsi="Arial" w:cs="Arial"/>
          <w:sz w:val="22"/>
          <w:szCs w:val="22"/>
          <w:u w:val="single"/>
        </w:rPr>
        <w:t>P</w:t>
      </w:r>
      <w:r w:rsidRPr="004B3E47">
        <w:rPr>
          <w:rFonts w:ascii="Arial" w:hAnsi="Arial" w:cs="Arial"/>
          <w:sz w:val="22"/>
          <w:szCs w:val="22"/>
        </w:rPr>
        <w:t xml:space="preserve">rograms (STEP), provides female and minority students who are pursuing an engineering degree with support services toward college completion.  STEP assists students with many aspects of college life including study skills, time management skills, social skills, and other skills important for retention and success.  In practice, the STEP program participates in Club Rush and other appropriate venues to advertise the program and students self-elect to participate. For the past four years, engineering program enrollment has averaged 17% female and 3% minorities.  Completion rates for these underrepresented groups for the same four years has mirrored enrollment rates at 17% and 3% respectively.  Graduation rates of underrepresented students per cohort </w:t>
      </w:r>
      <w:r w:rsidR="00AE49B4" w:rsidRPr="004B3E47">
        <w:rPr>
          <w:rFonts w:ascii="Arial" w:hAnsi="Arial" w:cs="Arial"/>
          <w:sz w:val="22"/>
          <w:szCs w:val="22"/>
        </w:rPr>
        <w:t>year</w:t>
      </w:r>
      <w:r w:rsidRPr="004B3E47">
        <w:rPr>
          <w:rFonts w:ascii="Arial" w:hAnsi="Arial" w:cs="Arial"/>
          <w:sz w:val="22"/>
          <w:szCs w:val="22"/>
        </w:rPr>
        <w:t xml:space="preserve"> indicate </w:t>
      </w:r>
      <w:r w:rsidRPr="00AE49B4">
        <w:rPr>
          <w:rFonts w:ascii="Arial" w:hAnsi="Arial" w:cs="Arial"/>
          <w:sz w:val="22"/>
          <w:szCs w:val="22"/>
        </w:rPr>
        <w:t xml:space="preserve">that </w:t>
      </w:r>
      <w:r w:rsidR="00AE49B4" w:rsidRPr="00AE49B4">
        <w:rPr>
          <w:rFonts w:ascii="Arial" w:hAnsi="Arial" w:cs="Arial"/>
          <w:sz w:val="22"/>
          <w:szCs w:val="22"/>
        </w:rPr>
        <w:t>33</w:t>
      </w:r>
      <w:r w:rsidRPr="00AE49B4">
        <w:rPr>
          <w:rFonts w:ascii="Arial" w:hAnsi="Arial" w:cs="Arial"/>
          <w:sz w:val="22"/>
          <w:szCs w:val="22"/>
        </w:rPr>
        <w:t>%</w:t>
      </w:r>
      <w:r w:rsidRPr="004B3E47">
        <w:rPr>
          <w:rFonts w:ascii="Arial" w:hAnsi="Arial" w:cs="Arial"/>
          <w:sz w:val="22"/>
          <w:szCs w:val="22"/>
        </w:rPr>
        <w:t xml:space="preserve"> of female engineering students </w:t>
      </w:r>
      <w:r w:rsidRPr="00AE49B4">
        <w:rPr>
          <w:rFonts w:ascii="Arial" w:hAnsi="Arial" w:cs="Arial"/>
          <w:sz w:val="22"/>
          <w:szCs w:val="22"/>
        </w:rPr>
        <w:t xml:space="preserve">and </w:t>
      </w:r>
      <w:r w:rsidR="00AE49B4" w:rsidRPr="00AE49B4">
        <w:rPr>
          <w:rFonts w:ascii="Arial" w:hAnsi="Arial" w:cs="Arial"/>
          <w:sz w:val="22"/>
          <w:szCs w:val="22"/>
        </w:rPr>
        <w:t>14</w:t>
      </w:r>
      <w:r w:rsidRPr="00AE49B4">
        <w:rPr>
          <w:rFonts w:ascii="Arial" w:hAnsi="Arial" w:cs="Arial"/>
          <w:sz w:val="22"/>
          <w:szCs w:val="22"/>
        </w:rPr>
        <w:t>% of</w:t>
      </w:r>
      <w:r w:rsidRPr="004B3E47">
        <w:rPr>
          <w:rFonts w:ascii="Arial" w:hAnsi="Arial" w:cs="Arial"/>
          <w:sz w:val="22"/>
          <w:szCs w:val="22"/>
        </w:rPr>
        <w:t xml:space="preserve"> minority engineering students earn their degree from Montana Tech within 6 years of their firs</w:t>
      </w:r>
      <w:r w:rsidR="0072236E">
        <w:rPr>
          <w:rFonts w:ascii="Arial" w:hAnsi="Arial" w:cs="Arial"/>
          <w:sz w:val="22"/>
          <w:szCs w:val="22"/>
        </w:rPr>
        <w:t>t-time full</w:t>
      </w:r>
      <w:r w:rsidRPr="004B3E47">
        <w:rPr>
          <w:rFonts w:ascii="Arial" w:hAnsi="Arial" w:cs="Arial"/>
          <w:sz w:val="22"/>
          <w:szCs w:val="22"/>
        </w:rPr>
        <w:t>-time enrollment.</w:t>
      </w:r>
    </w:p>
    <w:p w:rsidR="00017E80" w:rsidRDefault="00017E80" w:rsidP="001B4D6A">
      <w:pPr>
        <w:rPr>
          <w:rFonts w:ascii="Arial" w:hAnsi="Arial" w:cs="Arial"/>
          <w:sz w:val="22"/>
          <w:szCs w:val="22"/>
        </w:rPr>
      </w:pPr>
    </w:p>
    <w:p w:rsidR="0049231C" w:rsidRPr="000C64B0" w:rsidRDefault="005D56CF" w:rsidP="001B4D6A">
      <w:pPr>
        <w:rPr>
          <w:rFonts w:ascii="Arial" w:hAnsi="Arial" w:cs="Arial"/>
          <w:sz w:val="22"/>
          <w:szCs w:val="22"/>
        </w:rPr>
      </w:pPr>
      <w:r w:rsidRPr="008B0519">
        <w:rPr>
          <w:rFonts w:ascii="Arial" w:hAnsi="Arial" w:cs="Arial"/>
          <w:sz w:val="22"/>
          <w:szCs w:val="22"/>
        </w:rPr>
        <w:t xml:space="preserve">The Montana Minds </w:t>
      </w:r>
      <w:r w:rsidRPr="000C64B0">
        <w:rPr>
          <w:rFonts w:ascii="Arial" w:hAnsi="Arial" w:cs="Arial"/>
          <w:sz w:val="22"/>
          <w:szCs w:val="22"/>
        </w:rPr>
        <w:t xml:space="preserve">Program awarded </w:t>
      </w:r>
      <w:r w:rsidR="004663ED" w:rsidRPr="000C64B0">
        <w:rPr>
          <w:rFonts w:ascii="Arial" w:hAnsi="Arial" w:cs="Arial"/>
          <w:sz w:val="22"/>
          <w:szCs w:val="22"/>
        </w:rPr>
        <w:t xml:space="preserve">four-year </w:t>
      </w:r>
      <w:r w:rsidRPr="000C64B0">
        <w:rPr>
          <w:rFonts w:ascii="Arial" w:hAnsi="Arial" w:cs="Arial"/>
          <w:sz w:val="22"/>
          <w:szCs w:val="22"/>
        </w:rPr>
        <w:t xml:space="preserve">full-ride </w:t>
      </w:r>
      <w:r w:rsidR="003D6FC9" w:rsidRPr="000C64B0">
        <w:rPr>
          <w:rFonts w:ascii="Arial" w:hAnsi="Arial" w:cs="Arial"/>
          <w:sz w:val="22"/>
          <w:szCs w:val="22"/>
        </w:rPr>
        <w:t xml:space="preserve">renewable scholarships </w:t>
      </w:r>
      <w:r w:rsidR="00A138FE" w:rsidRPr="000C64B0">
        <w:rPr>
          <w:rFonts w:ascii="Arial" w:hAnsi="Arial" w:cs="Arial"/>
          <w:sz w:val="22"/>
          <w:szCs w:val="22"/>
        </w:rPr>
        <w:t xml:space="preserve">valued at up to $6,400 (more than the cost of tuition and fees for an in-state student) </w:t>
      </w:r>
      <w:r w:rsidR="003D6FC9" w:rsidRPr="000C64B0">
        <w:rPr>
          <w:rFonts w:ascii="Arial" w:hAnsi="Arial" w:cs="Arial"/>
          <w:sz w:val="22"/>
          <w:szCs w:val="22"/>
        </w:rPr>
        <w:t xml:space="preserve">to 18 students in 2007 and </w:t>
      </w:r>
      <w:r w:rsidR="000C64B0" w:rsidRPr="000C64B0">
        <w:rPr>
          <w:rFonts w:ascii="Arial" w:hAnsi="Arial" w:cs="Arial"/>
          <w:sz w:val="22"/>
          <w:szCs w:val="22"/>
        </w:rPr>
        <w:t xml:space="preserve">to </w:t>
      </w:r>
      <w:r w:rsidR="003D6FC9" w:rsidRPr="000C64B0">
        <w:rPr>
          <w:rFonts w:ascii="Arial" w:hAnsi="Arial" w:cs="Arial"/>
          <w:sz w:val="22"/>
          <w:szCs w:val="22"/>
        </w:rPr>
        <w:t>20 students</w:t>
      </w:r>
      <w:r w:rsidRPr="000C64B0">
        <w:rPr>
          <w:rFonts w:ascii="Arial" w:hAnsi="Arial" w:cs="Arial"/>
          <w:sz w:val="22"/>
          <w:szCs w:val="22"/>
        </w:rPr>
        <w:t xml:space="preserve"> in 2008.  </w:t>
      </w:r>
      <w:r w:rsidR="000C64B0" w:rsidRPr="000C64B0">
        <w:rPr>
          <w:rFonts w:ascii="Arial" w:hAnsi="Arial" w:cs="Arial"/>
          <w:sz w:val="22"/>
          <w:szCs w:val="22"/>
        </w:rPr>
        <w:t>Based both on merit and need, t</w:t>
      </w:r>
      <w:r w:rsidRPr="000C64B0">
        <w:rPr>
          <w:rFonts w:ascii="Arial" w:hAnsi="Arial" w:cs="Arial"/>
          <w:sz w:val="22"/>
          <w:szCs w:val="22"/>
        </w:rPr>
        <w:t xml:space="preserve">he scholarships were funded by </w:t>
      </w:r>
      <w:r w:rsidR="00EF21B0">
        <w:rPr>
          <w:rFonts w:ascii="Arial" w:hAnsi="Arial" w:cs="Arial"/>
          <w:sz w:val="22"/>
          <w:szCs w:val="22"/>
        </w:rPr>
        <w:t xml:space="preserve">the </w:t>
      </w:r>
      <w:r w:rsidR="00EF21B0" w:rsidRPr="00C74C86">
        <w:rPr>
          <w:rFonts w:ascii="Arial" w:hAnsi="Arial" w:cs="Arial"/>
          <w:sz w:val="22"/>
          <w:szCs w:val="22"/>
        </w:rPr>
        <w:t>National Science Foundation (</w:t>
      </w:r>
      <w:r w:rsidRPr="00C74C86">
        <w:rPr>
          <w:rFonts w:ascii="Arial" w:hAnsi="Arial" w:cs="Arial"/>
          <w:sz w:val="22"/>
          <w:szCs w:val="22"/>
        </w:rPr>
        <w:t>NSF</w:t>
      </w:r>
      <w:r w:rsidR="00EF21B0" w:rsidRPr="00C74C86">
        <w:rPr>
          <w:rFonts w:ascii="Arial" w:hAnsi="Arial" w:cs="Arial"/>
          <w:sz w:val="22"/>
          <w:szCs w:val="22"/>
        </w:rPr>
        <w:t>)</w:t>
      </w:r>
      <w:r w:rsidRPr="00C74C86">
        <w:rPr>
          <w:rFonts w:ascii="Arial" w:hAnsi="Arial" w:cs="Arial"/>
          <w:sz w:val="22"/>
          <w:szCs w:val="22"/>
        </w:rPr>
        <w:t xml:space="preserve"> and required that the </w:t>
      </w:r>
      <w:r w:rsidR="000C64B0" w:rsidRPr="00C74C86">
        <w:rPr>
          <w:rFonts w:ascii="Arial" w:hAnsi="Arial" w:cs="Arial"/>
          <w:sz w:val="22"/>
          <w:szCs w:val="22"/>
        </w:rPr>
        <w:t>recipient</w:t>
      </w:r>
      <w:r w:rsidRPr="00C74C86">
        <w:rPr>
          <w:rFonts w:ascii="Arial" w:hAnsi="Arial" w:cs="Arial"/>
          <w:sz w:val="22"/>
          <w:szCs w:val="22"/>
        </w:rPr>
        <w:t xml:space="preserve"> be a low-income student</w:t>
      </w:r>
      <w:r w:rsidR="000C64B0" w:rsidRPr="00C74C86">
        <w:rPr>
          <w:rFonts w:ascii="Arial" w:hAnsi="Arial" w:cs="Arial"/>
          <w:sz w:val="22"/>
          <w:szCs w:val="22"/>
        </w:rPr>
        <w:t>.</w:t>
      </w:r>
      <w:r w:rsidRPr="00C74C86">
        <w:rPr>
          <w:rFonts w:ascii="Arial" w:hAnsi="Arial" w:cs="Arial"/>
          <w:sz w:val="22"/>
          <w:szCs w:val="22"/>
        </w:rPr>
        <w:t>  In addition to scholarship dollars,</w:t>
      </w:r>
      <w:r w:rsidRPr="000C64B0">
        <w:rPr>
          <w:rFonts w:ascii="Arial" w:hAnsi="Arial" w:cs="Arial"/>
          <w:sz w:val="22"/>
          <w:szCs w:val="22"/>
        </w:rPr>
        <w:t xml:space="preserve"> the program provides each scholar with learning communities, custom selected academic advisors, social events with academic advisors, academic field trips, and tutoring.  </w:t>
      </w:r>
    </w:p>
    <w:p w:rsidR="000A3DEE" w:rsidRPr="000C64B0" w:rsidRDefault="000A3DEE" w:rsidP="001B4D6A">
      <w:pPr>
        <w:rPr>
          <w:rFonts w:ascii="Arial" w:hAnsi="Arial" w:cs="Arial"/>
          <w:sz w:val="22"/>
          <w:szCs w:val="22"/>
        </w:rPr>
      </w:pPr>
    </w:p>
    <w:p w:rsidR="00A138FE" w:rsidRPr="000C64B0" w:rsidRDefault="00A138FE" w:rsidP="001B4D6A">
      <w:pPr>
        <w:pStyle w:val="BodyText"/>
      </w:pPr>
      <w:r w:rsidRPr="000C64B0">
        <w:t>T</w:t>
      </w:r>
      <w:r w:rsidR="0072236E">
        <w:t>he Bright Prism Ray Scholarship P</w:t>
      </w:r>
      <w:r w:rsidR="004663ED" w:rsidRPr="000C64B0">
        <w:t>rogram is a Mining, Geology</w:t>
      </w:r>
      <w:r w:rsidR="000C64B0" w:rsidRPr="000C64B0">
        <w:t>,</w:t>
      </w:r>
      <w:r w:rsidR="004663ED" w:rsidRPr="000C64B0">
        <w:t xml:space="preserve"> and Met</w:t>
      </w:r>
      <w:r w:rsidR="0063739C">
        <w:t>a</w:t>
      </w:r>
      <w:r w:rsidR="004663ED" w:rsidRPr="000C64B0">
        <w:t>llu</w:t>
      </w:r>
      <w:r w:rsidR="0063739C">
        <w:t>r</w:t>
      </w:r>
      <w:r w:rsidR="0072236E">
        <w:t>gical Engine</w:t>
      </w:r>
      <w:r w:rsidR="004663ED" w:rsidRPr="000C64B0">
        <w:t>ering initiative</w:t>
      </w:r>
      <w:r w:rsidRPr="000C64B0">
        <w:t xml:space="preserve"> funded by the National Science Foundation</w:t>
      </w:r>
      <w:r w:rsidR="00F50EEC">
        <w:t xml:space="preserve"> (NFS)</w:t>
      </w:r>
      <w:r w:rsidRPr="000C64B0">
        <w:t xml:space="preserve"> to increase the number of engineering students from low-income and first-generation families.  The program </w:t>
      </w:r>
      <w:r w:rsidR="000C64B0" w:rsidRPr="000C64B0">
        <w:t>targets</w:t>
      </w:r>
      <w:r w:rsidRPr="000C64B0">
        <w:t xml:space="preserve"> students entering the fields of Geological Engineering, Metallur</w:t>
      </w:r>
      <w:r w:rsidR="0063739C">
        <w:t>g</w:t>
      </w:r>
      <w:r w:rsidRPr="000C64B0">
        <w:t>ical and Materials Engineering</w:t>
      </w:r>
      <w:r w:rsidR="000C64B0" w:rsidRPr="000C64B0">
        <w:t>,</w:t>
      </w:r>
      <w:r w:rsidRPr="000C64B0">
        <w:t xml:space="preserve"> and Mining Engi</w:t>
      </w:r>
      <w:r w:rsidR="000C64B0" w:rsidRPr="000C64B0">
        <w:t>neering.  S</w:t>
      </w:r>
      <w:r w:rsidRPr="000C64B0">
        <w:t>cholarships for these students</w:t>
      </w:r>
      <w:r w:rsidR="0007517B">
        <w:t xml:space="preserve"> are valued up to $6,6</w:t>
      </w:r>
      <w:r w:rsidR="000C64B0" w:rsidRPr="000C64B0">
        <w:t>00 per year and include</w:t>
      </w:r>
      <w:r w:rsidRPr="000C64B0">
        <w:t xml:space="preserve"> special tutors, extended field trips</w:t>
      </w:r>
      <w:r w:rsidR="000C64B0" w:rsidRPr="000C64B0">
        <w:t>, and</w:t>
      </w:r>
      <w:r w:rsidR="0072236E">
        <w:t xml:space="preserve"> outreach to help</w:t>
      </w:r>
      <w:r w:rsidRPr="000C64B0">
        <w:t xml:space="preserve"> students prepare for and succeed in college.  The first students admitted to this program will enroll in Fall 2010.</w:t>
      </w:r>
    </w:p>
    <w:p w:rsidR="00A138FE" w:rsidRDefault="00A138FE" w:rsidP="001B4D6A">
      <w:pPr>
        <w:pStyle w:val="BodyText"/>
      </w:pPr>
    </w:p>
    <w:p w:rsidR="00D96DF6" w:rsidRDefault="00291534" w:rsidP="001B4D6A">
      <w:pPr>
        <w:pStyle w:val="BodyText"/>
      </w:pPr>
      <w:r w:rsidRPr="00291534">
        <w:t>I</w:t>
      </w:r>
      <w:r>
        <w:t xml:space="preserve">nternational student enrollment has grown substantially </w:t>
      </w:r>
      <w:r w:rsidR="001369EE">
        <w:t xml:space="preserve">over </w:t>
      </w:r>
      <w:r>
        <w:t xml:space="preserve">the past five years, </w:t>
      </w:r>
      <w:r w:rsidR="00C45B07">
        <w:t>specifically with Middle Eastern students. To address religious, ethnic, and diversity needs, Montana Tech worked with Muslim students to allocate location</w:t>
      </w:r>
      <w:r w:rsidR="00517AED">
        <w:t>s</w:t>
      </w:r>
      <w:r w:rsidR="00C45B07">
        <w:t xml:space="preserve"> for prayer, serve vegetarian and Halal foods in Dining Services, and install satellite TV service in apartment housing so </w:t>
      </w:r>
      <w:r w:rsidR="000C64B0">
        <w:t xml:space="preserve">that </w:t>
      </w:r>
      <w:r w:rsidR="00C45B07">
        <w:t>students can receive Arabic channels.</w:t>
      </w:r>
      <w:r w:rsidR="00D96DF6">
        <w:t xml:space="preserve">  </w:t>
      </w:r>
    </w:p>
    <w:p w:rsidR="00FF10C9" w:rsidRDefault="00FF10C9" w:rsidP="001B4D6A">
      <w:pPr>
        <w:rPr>
          <w:rFonts w:ascii="Arial" w:hAnsi="Arial" w:cs="Arial"/>
          <w:b/>
          <w:sz w:val="22"/>
          <w:szCs w:val="22"/>
        </w:rPr>
      </w:pPr>
    </w:p>
    <w:p w:rsidR="004D2808" w:rsidRPr="004D2808" w:rsidRDefault="009A392B" w:rsidP="001B4D6A">
      <w:pPr>
        <w:rPr>
          <w:rFonts w:ascii="Arial" w:hAnsi="Arial" w:cs="Arial"/>
          <w:b/>
          <w:sz w:val="22"/>
          <w:szCs w:val="22"/>
        </w:rPr>
      </w:pPr>
      <w:r>
        <w:rPr>
          <w:rFonts w:ascii="Arial" w:hAnsi="Arial" w:cs="Arial"/>
          <w:b/>
          <w:sz w:val="22"/>
          <w:szCs w:val="22"/>
        </w:rPr>
        <w:t>3.D.3</w:t>
      </w:r>
      <w:r>
        <w:rPr>
          <w:rFonts w:ascii="Arial" w:hAnsi="Arial" w:cs="Arial"/>
          <w:b/>
          <w:sz w:val="22"/>
          <w:szCs w:val="22"/>
        </w:rPr>
        <w:tab/>
      </w:r>
      <w:r w:rsidR="004D2808" w:rsidRPr="004D2808">
        <w:rPr>
          <w:rFonts w:ascii="Arial" w:hAnsi="Arial" w:cs="Arial"/>
          <w:b/>
          <w:sz w:val="22"/>
          <w:szCs w:val="22"/>
        </w:rPr>
        <w:t>Appropriate policies and procedures guide the placement of students in courses and programs based upon their academic and technical skills. Such placement ensures a reasonable probability of success at a level commensurate with the institution’s expectations. Special provisions are made for “</w:t>
      </w:r>
      <w:r w:rsidR="004D2808" w:rsidRPr="004D2808">
        <w:rPr>
          <w:rFonts w:ascii="Arial" w:hAnsi="Arial" w:cs="Arial"/>
          <w:b/>
          <w:i/>
          <w:iCs/>
          <w:sz w:val="22"/>
          <w:szCs w:val="22"/>
        </w:rPr>
        <w:t>ability to benefit</w:t>
      </w:r>
      <w:r w:rsidR="004D2808" w:rsidRPr="004D2808">
        <w:rPr>
          <w:rFonts w:ascii="Arial" w:hAnsi="Arial" w:cs="Arial"/>
          <w:b/>
          <w:sz w:val="22"/>
          <w:szCs w:val="22"/>
        </w:rPr>
        <w:t>” students. (see Glossary)</w:t>
      </w:r>
    </w:p>
    <w:p w:rsidR="00053EEF" w:rsidRPr="00294BB3" w:rsidRDefault="00053EEF" w:rsidP="001B4D6A">
      <w:pPr>
        <w:rPr>
          <w:rFonts w:ascii="Arial" w:hAnsi="Arial" w:cs="Arial"/>
          <w:lang w:eastAsia="en-US"/>
        </w:rPr>
      </w:pPr>
    </w:p>
    <w:p w:rsidR="00DA2853" w:rsidRPr="00645020" w:rsidRDefault="0072236E" w:rsidP="001B4D6A">
      <w:pPr>
        <w:rPr>
          <w:rFonts w:ascii="Arial" w:hAnsi="Arial" w:cs="Arial"/>
          <w:sz w:val="22"/>
          <w:szCs w:val="22"/>
        </w:rPr>
      </w:pPr>
      <w:r>
        <w:rPr>
          <w:rFonts w:ascii="Arial" w:hAnsi="Arial" w:cs="Arial"/>
          <w:sz w:val="22"/>
          <w:szCs w:val="22"/>
        </w:rPr>
        <w:lastRenderedPageBreak/>
        <w:t>The University</w:t>
      </w:r>
      <w:r w:rsidR="00DA2853" w:rsidRPr="00645020">
        <w:rPr>
          <w:rFonts w:ascii="Arial" w:hAnsi="Arial" w:cs="Arial"/>
          <w:sz w:val="22"/>
          <w:szCs w:val="22"/>
        </w:rPr>
        <w:t xml:space="preserve"> uses the following testing instruments to place students in appropriate coursework:  ACT/SAT test scores, GPA, class rank, previous</w:t>
      </w:r>
      <w:r w:rsidR="009B473D" w:rsidRPr="00645020">
        <w:rPr>
          <w:rFonts w:ascii="Arial" w:hAnsi="Arial" w:cs="Arial"/>
          <w:sz w:val="22"/>
          <w:szCs w:val="22"/>
        </w:rPr>
        <w:t xml:space="preserve"> coursework and grades, and/or </w:t>
      </w:r>
      <w:r w:rsidR="009B473D" w:rsidRPr="00F70B3D">
        <w:rPr>
          <w:rFonts w:ascii="Arial" w:hAnsi="Arial" w:cs="Arial"/>
          <w:sz w:val="22"/>
          <w:szCs w:val="22"/>
        </w:rPr>
        <w:t>C</w:t>
      </w:r>
      <w:r w:rsidR="00F70B3D" w:rsidRPr="00F70B3D">
        <w:rPr>
          <w:rFonts w:ascii="Arial" w:hAnsi="Arial" w:cs="Arial"/>
          <w:sz w:val="22"/>
          <w:szCs w:val="22"/>
        </w:rPr>
        <w:t>ompas</w:t>
      </w:r>
      <w:r w:rsidR="004F3DCE">
        <w:rPr>
          <w:rFonts w:ascii="Arial" w:hAnsi="Arial" w:cs="Arial"/>
          <w:sz w:val="22"/>
          <w:szCs w:val="22"/>
        </w:rPr>
        <w:t>s</w:t>
      </w:r>
      <w:r w:rsidR="00DA2853" w:rsidRPr="00645020">
        <w:rPr>
          <w:rFonts w:ascii="Arial" w:hAnsi="Arial" w:cs="Arial"/>
          <w:sz w:val="22"/>
          <w:szCs w:val="22"/>
        </w:rPr>
        <w:t xml:space="preserve"> test scores.</w:t>
      </w:r>
    </w:p>
    <w:p w:rsidR="00DA2853" w:rsidRPr="00645020" w:rsidRDefault="00DA2853" w:rsidP="001B4D6A">
      <w:pPr>
        <w:rPr>
          <w:rFonts w:ascii="Arial" w:hAnsi="Arial" w:cs="Arial"/>
          <w:sz w:val="22"/>
          <w:szCs w:val="22"/>
        </w:rPr>
      </w:pPr>
    </w:p>
    <w:p w:rsidR="009871A7" w:rsidRDefault="00DA2853" w:rsidP="001B4D6A">
      <w:pPr>
        <w:rPr>
          <w:rFonts w:ascii="Arial" w:hAnsi="Arial" w:cs="Arial"/>
          <w:sz w:val="22"/>
          <w:szCs w:val="22"/>
        </w:rPr>
      </w:pPr>
      <w:r w:rsidRPr="00645020">
        <w:rPr>
          <w:rFonts w:ascii="Arial" w:hAnsi="Arial" w:cs="Arial"/>
          <w:sz w:val="22"/>
          <w:szCs w:val="22"/>
        </w:rPr>
        <w:t>Students who do not meet admissions standards</w:t>
      </w:r>
      <w:r w:rsidR="009B473D" w:rsidRPr="00645020">
        <w:rPr>
          <w:rFonts w:ascii="Arial" w:hAnsi="Arial" w:cs="Arial"/>
          <w:sz w:val="22"/>
          <w:szCs w:val="22"/>
        </w:rPr>
        <w:t>,</w:t>
      </w:r>
      <w:r w:rsidRPr="00645020">
        <w:rPr>
          <w:rFonts w:ascii="Arial" w:hAnsi="Arial" w:cs="Arial"/>
          <w:sz w:val="22"/>
          <w:szCs w:val="22"/>
        </w:rPr>
        <w:t xml:space="preserve"> but </w:t>
      </w:r>
      <w:r w:rsidR="000C64B0">
        <w:rPr>
          <w:rFonts w:ascii="Arial" w:hAnsi="Arial" w:cs="Arial"/>
          <w:sz w:val="22"/>
          <w:szCs w:val="22"/>
        </w:rPr>
        <w:t xml:space="preserve">who </w:t>
      </w:r>
      <w:r w:rsidRPr="00645020">
        <w:rPr>
          <w:rFonts w:ascii="Arial" w:hAnsi="Arial" w:cs="Arial"/>
          <w:sz w:val="22"/>
          <w:szCs w:val="22"/>
        </w:rPr>
        <w:t>have been admitted based on ability to benefit</w:t>
      </w:r>
      <w:r w:rsidR="009B473D" w:rsidRPr="00645020">
        <w:rPr>
          <w:rFonts w:ascii="Arial" w:hAnsi="Arial" w:cs="Arial"/>
          <w:sz w:val="22"/>
          <w:szCs w:val="22"/>
        </w:rPr>
        <w:t>,</w:t>
      </w:r>
      <w:r w:rsidRPr="00645020">
        <w:rPr>
          <w:rFonts w:ascii="Arial" w:hAnsi="Arial" w:cs="Arial"/>
          <w:sz w:val="22"/>
          <w:szCs w:val="22"/>
        </w:rPr>
        <w:t xml:space="preserve"> are advised by the department head, generally</w:t>
      </w:r>
      <w:r w:rsidRPr="00645020">
        <w:rPr>
          <w:rFonts w:ascii="Arial" w:hAnsi="Arial" w:cs="Arial"/>
          <w:color w:val="00B050"/>
          <w:sz w:val="22"/>
          <w:szCs w:val="22"/>
        </w:rPr>
        <w:t xml:space="preserve"> </w:t>
      </w:r>
      <w:r w:rsidRPr="00645020">
        <w:rPr>
          <w:rFonts w:ascii="Arial" w:hAnsi="Arial" w:cs="Arial"/>
          <w:sz w:val="22"/>
          <w:szCs w:val="22"/>
        </w:rPr>
        <w:t>limited to 15 credits, and required to take MT 101</w:t>
      </w:r>
      <w:r w:rsidR="009B473D" w:rsidRPr="00645020">
        <w:rPr>
          <w:rFonts w:ascii="Arial" w:hAnsi="Arial" w:cs="Arial"/>
          <w:sz w:val="22"/>
          <w:szCs w:val="22"/>
        </w:rPr>
        <w:t>6 – College S</w:t>
      </w:r>
      <w:r w:rsidRPr="00645020">
        <w:rPr>
          <w:rFonts w:ascii="Arial" w:hAnsi="Arial" w:cs="Arial"/>
          <w:sz w:val="22"/>
          <w:szCs w:val="22"/>
        </w:rPr>
        <w:t xml:space="preserve">uccess. </w:t>
      </w:r>
      <w:r w:rsidR="00627C4F">
        <w:rPr>
          <w:rFonts w:ascii="Arial" w:hAnsi="Arial" w:cs="Arial"/>
          <w:sz w:val="22"/>
          <w:szCs w:val="22"/>
        </w:rPr>
        <w:t>This course is designed to teach students how to have a successful college experience both academically and personally.</w:t>
      </w:r>
    </w:p>
    <w:p w:rsidR="00DA2853" w:rsidRPr="00645020" w:rsidRDefault="00DA2853" w:rsidP="001B4D6A">
      <w:pPr>
        <w:rPr>
          <w:rFonts w:ascii="Arial" w:hAnsi="Arial" w:cs="Arial"/>
          <w:sz w:val="22"/>
          <w:szCs w:val="22"/>
        </w:rPr>
      </w:pPr>
      <w:r w:rsidRPr="00645020">
        <w:rPr>
          <w:rFonts w:ascii="Arial" w:hAnsi="Arial" w:cs="Arial"/>
          <w:sz w:val="22"/>
          <w:szCs w:val="22"/>
        </w:rPr>
        <w:t xml:space="preserve"> </w:t>
      </w:r>
    </w:p>
    <w:p w:rsidR="009871A7" w:rsidRPr="00C74C86" w:rsidRDefault="009871A7" w:rsidP="001B4D6A">
      <w:pPr>
        <w:pStyle w:val="BodyText"/>
      </w:pPr>
      <w:r w:rsidRPr="00A72FFE">
        <w:t xml:space="preserve">Montana Tech </w:t>
      </w:r>
      <w:r w:rsidR="000C64B0">
        <w:t xml:space="preserve">gives high priority to </w:t>
      </w:r>
      <w:r w:rsidR="007B5431">
        <w:t>p</w:t>
      </w:r>
      <w:r w:rsidRPr="00A72FFE">
        <w:t xml:space="preserve">lacing students in the most appropriate math courses </w:t>
      </w:r>
      <w:r w:rsidR="007B5431">
        <w:t xml:space="preserve">on the basis of </w:t>
      </w:r>
      <w:r w:rsidRPr="00A72FFE">
        <w:t>their current skill and knowledge base.</w:t>
      </w:r>
      <w:r w:rsidRPr="00E91F32">
        <w:t xml:space="preserve">  All new students provide standardized test scores, previous college level math coursework, and/or are tested at Montana Tech for math assessment purposes.  </w:t>
      </w:r>
      <w:r w:rsidRPr="00A72FFE">
        <w:t>Based upon the</w:t>
      </w:r>
      <w:r w:rsidRPr="00E91F32">
        <w:t xml:space="preserve"> assessment </w:t>
      </w:r>
      <w:r w:rsidRPr="00A72FFE">
        <w:t>results, each student is advised and placed in the most appropriate math course</w:t>
      </w:r>
      <w:r>
        <w:t>.</w:t>
      </w:r>
      <w:r w:rsidR="00A7011B">
        <w:t xml:space="preserve"> </w:t>
      </w:r>
      <w:r w:rsidR="001522DA" w:rsidRPr="00C74C86">
        <w:t>For example, a student</w:t>
      </w:r>
      <w:r w:rsidR="0007517B" w:rsidRPr="00C74C86">
        <w:t xml:space="preserve"> </w:t>
      </w:r>
      <w:r w:rsidR="00EE0785" w:rsidRPr="00C74C86">
        <w:t>must have a 27</w:t>
      </w:r>
      <w:r w:rsidR="001522DA" w:rsidRPr="00C74C86">
        <w:t xml:space="preserve"> Math ACT or equivelent assesment </w:t>
      </w:r>
      <w:r w:rsidR="0007517B" w:rsidRPr="00C74C86">
        <w:t xml:space="preserve">to be placed in </w:t>
      </w:r>
      <w:r w:rsidR="001522DA" w:rsidRPr="00C74C86">
        <w:t>C</w:t>
      </w:r>
      <w:r w:rsidR="0007517B" w:rsidRPr="00C74C86">
        <w:t>alculus</w:t>
      </w:r>
      <w:r w:rsidR="001522DA" w:rsidRPr="00C74C86">
        <w:t xml:space="preserve"> I</w:t>
      </w:r>
      <w:r w:rsidR="0007517B" w:rsidRPr="00C74C86">
        <w:t xml:space="preserve">.  </w:t>
      </w:r>
      <w:r w:rsidR="0072236E" w:rsidRPr="00C74C86">
        <w:t>(S</w:t>
      </w:r>
      <w:r w:rsidR="005A466F" w:rsidRPr="00C74C86">
        <w:t>ee Standard 2.B.1</w:t>
      </w:r>
      <w:r w:rsidR="00CA1752" w:rsidRPr="00C74C86">
        <w:t>,</w:t>
      </w:r>
      <w:r w:rsidR="005A466F" w:rsidRPr="00C74C86">
        <w:t xml:space="preserve"> Table 2.B.I</w:t>
      </w:r>
      <w:r w:rsidR="00925C9C" w:rsidRPr="00C74C86">
        <w:t>II</w:t>
      </w:r>
      <w:r w:rsidR="00CA1752" w:rsidRPr="00C74C86">
        <w:t xml:space="preserve"> and Table 2.B.IV</w:t>
      </w:r>
      <w:r w:rsidR="005A466F" w:rsidRPr="00C74C86">
        <w:t xml:space="preserve"> </w:t>
      </w:r>
      <w:r w:rsidR="00925C9C" w:rsidRPr="00C74C86">
        <w:t>for m</w:t>
      </w:r>
      <w:r w:rsidR="005A466F" w:rsidRPr="00C74C86">
        <w:t xml:space="preserve">ath </w:t>
      </w:r>
      <w:r w:rsidR="00925C9C" w:rsidRPr="00C74C86">
        <w:t>placement r</w:t>
      </w:r>
      <w:r w:rsidR="005A466F" w:rsidRPr="00C74C86">
        <w:t xml:space="preserve">ules </w:t>
      </w:r>
      <w:r w:rsidR="00925C9C" w:rsidRPr="00C74C86">
        <w:t xml:space="preserve">based on ACT/SAT scores followed </w:t>
      </w:r>
      <w:r w:rsidR="005A466F" w:rsidRPr="00C74C86">
        <w:t>at Montana Tech.</w:t>
      </w:r>
      <w:r w:rsidR="0072236E" w:rsidRPr="00C74C86">
        <w:t>)</w:t>
      </w:r>
    </w:p>
    <w:p w:rsidR="0048266F" w:rsidRPr="00C74C86" w:rsidRDefault="0048266F" w:rsidP="001B4D6A">
      <w:pPr>
        <w:rPr>
          <w:rFonts w:ascii="Arial" w:hAnsi="Arial"/>
          <w:sz w:val="22"/>
          <w:lang w:eastAsia="en-US"/>
        </w:rPr>
      </w:pPr>
    </w:p>
    <w:p w:rsidR="004D2808" w:rsidRPr="004D2808" w:rsidRDefault="009A392B" w:rsidP="001B4D6A">
      <w:pPr>
        <w:rPr>
          <w:rFonts w:ascii="Arial" w:hAnsi="Arial" w:cs="Arial"/>
          <w:b/>
          <w:sz w:val="22"/>
          <w:szCs w:val="22"/>
        </w:rPr>
      </w:pPr>
      <w:r>
        <w:rPr>
          <w:rFonts w:ascii="Arial" w:hAnsi="Arial" w:cs="Arial"/>
          <w:b/>
          <w:sz w:val="22"/>
          <w:szCs w:val="22"/>
        </w:rPr>
        <w:t>3.D.4</w:t>
      </w:r>
      <w:r>
        <w:rPr>
          <w:rFonts w:ascii="Arial" w:hAnsi="Arial" w:cs="Arial"/>
          <w:b/>
          <w:sz w:val="22"/>
          <w:szCs w:val="22"/>
        </w:rPr>
        <w:tab/>
      </w:r>
      <w:r w:rsidR="004D2808" w:rsidRPr="004D2808">
        <w:rPr>
          <w:rFonts w:ascii="Arial" w:hAnsi="Arial" w:cs="Arial"/>
          <w:b/>
          <w:sz w:val="22"/>
          <w:szCs w:val="22"/>
        </w:rPr>
        <w:t>The institution specifies and publishes requirements for continuation in, or termination from, its educational programs, and it maintains an appeals process. The policy for readmission of students who have been suspended or terminated is clearly defined.</w:t>
      </w:r>
    </w:p>
    <w:p w:rsidR="006E7C2E" w:rsidRPr="00294BB3" w:rsidRDefault="006E7C2E" w:rsidP="001B4D6A">
      <w:pPr>
        <w:rPr>
          <w:rFonts w:ascii="Arial" w:hAnsi="Arial" w:cs="Arial"/>
          <w:sz w:val="22"/>
          <w:szCs w:val="22"/>
          <w:lang w:eastAsia="en-US"/>
        </w:rPr>
      </w:pPr>
    </w:p>
    <w:p w:rsidR="00DA2853" w:rsidRPr="008B0519" w:rsidRDefault="00DA2853" w:rsidP="001B4D6A">
      <w:pPr>
        <w:rPr>
          <w:rFonts w:ascii="Arial" w:hAnsi="Arial" w:cs="Arial"/>
          <w:sz w:val="22"/>
          <w:szCs w:val="22"/>
        </w:rPr>
      </w:pPr>
      <w:r w:rsidRPr="008B0519">
        <w:rPr>
          <w:rFonts w:ascii="Arial" w:hAnsi="Arial" w:cs="Arial"/>
          <w:sz w:val="22"/>
          <w:szCs w:val="22"/>
        </w:rPr>
        <w:t>Specific requirements for good academic standing, probation, suspension</w:t>
      </w:r>
      <w:r w:rsidR="007B5431">
        <w:rPr>
          <w:rFonts w:ascii="Arial" w:hAnsi="Arial" w:cs="Arial"/>
          <w:sz w:val="22"/>
          <w:szCs w:val="22"/>
        </w:rPr>
        <w:t>,</w:t>
      </w:r>
      <w:r w:rsidRPr="008B0519">
        <w:rPr>
          <w:rFonts w:ascii="Arial" w:hAnsi="Arial" w:cs="Arial"/>
          <w:sz w:val="22"/>
          <w:szCs w:val="22"/>
        </w:rPr>
        <w:t xml:space="preserve"> and </w:t>
      </w:r>
      <w:r w:rsidR="007B5431">
        <w:rPr>
          <w:rFonts w:ascii="Arial" w:hAnsi="Arial" w:cs="Arial"/>
          <w:sz w:val="22"/>
          <w:szCs w:val="22"/>
        </w:rPr>
        <w:t xml:space="preserve">for </w:t>
      </w:r>
      <w:r w:rsidRPr="008B0519">
        <w:rPr>
          <w:rFonts w:ascii="Arial" w:hAnsi="Arial" w:cs="Arial"/>
          <w:sz w:val="22"/>
          <w:szCs w:val="22"/>
        </w:rPr>
        <w:t>an appeals process are clearly</w:t>
      </w:r>
      <w:r w:rsidR="004663ED">
        <w:rPr>
          <w:rFonts w:ascii="Arial" w:hAnsi="Arial" w:cs="Arial"/>
          <w:sz w:val="22"/>
          <w:szCs w:val="22"/>
        </w:rPr>
        <w:t xml:space="preserve"> </w:t>
      </w:r>
      <w:r w:rsidR="004663ED" w:rsidRPr="006E6410">
        <w:rPr>
          <w:rFonts w:ascii="Arial" w:hAnsi="Arial" w:cs="Arial"/>
          <w:sz w:val="22"/>
          <w:szCs w:val="22"/>
        </w:rPr>
        <w:t xml:space="preserve">indicated in the </w:t>
      </w:r>
      <w:r w:rsidR="00063ABE">
        <w:rPr>
          <w:rFonts w:ascii="Arial" w:hAnsi="Arial" w:cs="Arial"/>
          <w:sz w:val="22"/>
          <w:szCs w:val="22"/>
        </w:rPr>
        <w:t>c</w:t>
      </w:r>
      <w:r w:rsidRPr="00CA1752">
        <w:rPr>
          <w:rFonts w:ascii="Arial" w:hAnsi="Arial" w:cs="Arial"/>
          <w:sz w:val="22"/>
          <w:szCs w:val="22"/>
        </w:rPr>
        <w:t>atalog</w:t>
      </w:r>
      <w:r w:rsidRPr="006E6410">
        <w:rPr>
          <w:rFonts w:ascii="Arial" w:hAnsi="Arial" w:cs="Arial"/>
          <w:sz w:val="22"/>
          <w:szCs w:val="22"/>
        </w:rPr>
        <w:t xml:space="preserve"> </w:t>
      </w:r>
      <w:r w:rsidR="007B5431" w:rsidRPr="006E6410">
        <w:rPr>
          <w:rFonts w:ascii="Arial" w:hAnsi="Arial" w:cs="Arial"/>
          <w:sz w:val="22"/>
          <w:szCs w:val="22"/>
        </w:rPr>
        <w:t>(p</w:t>
      </w:r>
      <w:r w:rsidR="00CA1752">
        <w:rPr>
          <w:rFonts w:ascii="Arial" w:hAnsi="Arial" w:cs="Arial"/>
          <w:sz w:val="22"/>
          <w:szCs w:val="22"/>
        </w:rPr>
        <w:t>.</w:t>
      </w:r>
      <w:r w:rsidRPr="006E6410">
        <w:rPr>
          <w:rFonts w:ascii="Arial" w:hAnsi="Arial" w:cs="Arial"/>
          <w:sz w:val="22"/>
          <w:szCs w:val="22"/>
        </w:rPr>
        <w:t xml:space="preserve"> 25).</w:t>
      </w:r>
      <w:r w:rsidR="00016E65" w:rsidRPr="006E6410">
        <w:rPr>
          <w:rFonts w:ascii="Arial" w:hAnsi="Arial" w:cs="Arial"/>
          <w:sz w:val="22"/>
          <w:szCs w:val="22"/>
        </w:rPr>
        <w:t xml:space="preserve"> If during</w:t>
      </w:r>
      <w:r w:rsidR="00016E65" w:rsidRPr="00621873">
        <w:rPr>
          <w:rFonts w:ascii="Arial" w:hAnsi="Arial" w:cs="Arial"/>
          <w:sz w:val="22"/>
          <w:szCs w:val="22"/>
        </w:rPr>
        <w:t xml:space="preserve"> any semester </w:t>
      </w:r>
      <w:r w:rsidR="00B04B3D">
        <w:rPr>
          <w:rFonts w:ascii="Arial" w:hAnsi="Arial" w:cs="Arial"/>
          <w:sz w:val="22"/>
          <w:szCs w:val="22"/>
        </w:rPr>
        <w:t xml:space="preserve">a </w:t>
      </w:r>
      <w:r w:rsidR="00016E65" w:rsidRPr="00621873">
        <w:rPr>
          <w:rFonts w:ascii="Arial" w:hAnsi="Arial" w:cs="Arial"/>
          <w:sz w:val="22"/>
          <w:szCs w:val="22"/>
        </w:rPr>
        <w:t xml:space="preserve">student’s </w:t>
      </w:r>
      <w:r w:rsidR="003C173F" w:rsidRPr="00621873">
        <w:rPr>
          <w:rFonts w:ascii="Arial" w:hAnsi="Arial" w:cs="Arial"/>
          <w:sz w:val="22"/>
          <w:szCs w:val="22"/>
        </w:rPr>
        <w:t>cumulative GPA is less than 2.00</w:t>
      </w:r>
      <w:r w:rsidR="00016E65" w:rsidRPr="00621873">
        <w:rPr>
          <w:rFonts w:ascii="Arial" w:hAnsi="Arial" w:cs="Arial"/>
          <w:sz w:val="22"/>
          <w:szCs w:val="22"/>
        </w:rPr>
        <w:t>, the student will be placed on academic probation.  Freshman studen</w:t>
      </w:r>
      <w:r w:rsidR="0063739C">
        <w:rPr>
          <w:rFonts w:ascii="Arial" w:hAnsi="Arial" w:cs="Arial"/>
          <w:sz w:val="22"/>
          <w:szCs w:val="22"/>
        </w:rPr>
        <w:t>ts admitted to Montana Tech “At-R</w:t>
      </w:r>
      <w:r w:rsidR="00016E65" w:rsidRPr="00621873">
        <w:rPr>
          <w:rFonts w:ascii="Arial" w:hAnsi="Arial" w:cs="Arial"/>
          <w:sz w:val="22"/>
          <w:szCs w:val="22"/>
        </w:rPr>
        <w:t>isk” or who are placed on probation are required to take MT 1016</w:t>
      </w:r>
      <w:r w:rsidR="004663ED">
        <w:rPr>
          <w:rFonts w:ascii="Arial" w:hAnsi="Arial" w:cs="Arial"/>
          <w:sz w:val="22"/>
          <w:szCs w:val="22"/>
        </w:rPr>
        <w:t xml:space="preserve"> </w:t>
      </w:r>
      <w:r w:rsidR="00016E65" w:rsidRPr="00621873">
        <w:rPr>
          <w:rFonts w:ascii="Arial" w:hAnsi="Arial" w:cs="Arial"/>
          <w:sz w:val="22"/>
          <w:szCs w:val="22"/>
        </w:rPr>
        <w:t>- College Success.</w:t>
      </w:r>
      <w:r w:rsidRPr="00621873">
        <w:rPr>
          <w:rFonts w:ascii="Arial" w:hAnsi="Arial" w:cs="Arial"/>
          <w:sz w:val="22"/>
          <w:szCs w:val="22"/>
        </w:rPr>
        <w:t xml:space="preserve">   </w:t>
      </w:r>
      <w:r w:rsidR="00016E65" w:rsidRPr="00621873">
        <w:rPr>
          <w:rFonts w:ascii="Arial" w:hAnsi="Arial" w:cs="Arial"/>
          <w:sz w:val="22"/>
          <w:szCs w:val="22"/>
        </w:rPr>
        <w:t>If in any semester while on probation a student falls below the minimum standard for academic progress, the student wi</w:t>
      </w:r>
      <w:r w:rsidR="00113B3B">
        <w:rPr>
          <w:rFonts w:ascii="Arial" w:hAnsi="Arial" w:cs="Arial"/>
          <w:sz w:val="22"/>
          <w:szCs w:val="22"/>
        </w:rPr>
        <w:t>ll be academically suspended from</w:t>
      </w:r>
      <w:r w:rsidR="0072236E">
        <w:rPr>
          <w:rFonts w:ascii="Arial" w:hAnsi="Arial" w:cs="Arial"/>
          <w:sz w:val="22"/>
          <w:szCs w:val="22"/>
        </w:rPr>
        <w:t xml:space="preserve"> the University</w:t>
      </w:r>
      <w:r w:rsidR="00016E65" w:rsidRPr="00621873">
        <w:rPr>
          <w:rFonts w:ascii="Arial" w:hAnsi="Arial" w:cs="Arial"/>
          <w:sz w:val="22"/>
          <w:szCs w:val="22"/>
        </w:rPr>
        <w:t xml:space="preserve">.  </w:t>
      </w:r>
      <w:r w:rsidRPr="00621873">
        <w:rPr>
          <w:rFonts w:ascii="Arial" w:hAnsi="Arial" w:cs="Arial"/>
          <w:sz w:val="22"/>
          <w:szCs w:val="22"/>
        </w:rPr>
        <w:t>At the</w:t>
      </w:r>
      <w:r w:rsidRPr="008B0519">
        <w:rPr>
          <w:rFonts w:ascii="Arial" w:hAnsi="Arial" w:cs="Arial"/>
          <w:sz w:val="22"/>
          <w:szCs w:val="22"/>
        </w:rPr>
        <w:t xml:space="preserve"> conclusion of each semester, affected students are promptly notified of probation or suspension and </w:t>
      </w:r>
      <w:r w:rsidR="009B473D" w:rsidRPr="008B0519">
        <w:rPr>
          <w:rFonts w:ascii="Arial" w:hAnsi="Arial" w:cs="Arial"/>
          <w:sz w:val="22"/>
          <w:szCs w:val="22"/>
        </w:rPr>
        <w:t>of t</w:t>
      </w:r>
      <w:r w:rsidRPr="008B0519">
        <w:rPr>
          <w:rFonts w:ascii="Arial" w:hAnsi="Arial" w:cs="Arial"/>
          <w:sz w:val="22"/>
          <w:szCs w:val="22"/>
        </w:rPr>
        <w:t>he appeals process by the Vice-Chancellor for Academic Affairs Office.</w:t>
      </w:r>
    </w:p>
    <w:p w:rsidR="00AB1C7D" w:rsidRDefault="00AB1C7D" w:rsidP="001B4D6A">
      <w:pPr>
        <w:rPr>
          <w:rFonts w:ascii="Arial" w:hAnsi="Arial" w:cs="Arial"/>
          <w:b/>
          <w:i/>
          <w:sz w:val="22"/>
          <w:szCs w:val="22"/>
        </w:rPr>
      </w:pPr>
    </w:p>
    <w:p w:rsidR="004D2808" w:rsidRPr="004D2808" w:rsidRDefault="009A392B" w:rsidP="001B4D6A">
      <w:pPr>
        <w:rPr>
          <w:rFonts w:ascii="Arial" w:hAnsi="Arial" w:cs="Arial"/>
          <w:b/>
          <w:sz w:val="22"/>
          <w:szCs w:val="22"/>
        </w:rPr>
      </w:pPr>
      <w:r>
        <w:rPr>
          <w:rFonts w:ascii="Arial" w:hAnsi="Arial" w:cs="Arial"/>
          <w:b/>
          <w:sz w:val="22"/>
          <w:szCs w:val="22"/>
        </w:rPr>
        <w:t>3.D.5</w:t>
      </w:r>
      <w:r>
        <w:rPr>
          <w:rFonts w:ascii="Arial" w:hAnsi="Arial" w:cs="Arial"/>
          <w:b/>
          <w:sz w:val="22"/>
          <w:szCs w:val="22"/>
        </w:rPr>
        <w:tab/>
      </w:r>
      <w:r w:rsidR="004D2808" w:rsidRPr="004D2808">
        <w:rPr>
          <w:rFonts w:ascii="Arial" w:hAnsi="Arial" w:cs="Arial"/>
          <w:b/>
          <w:sz w:val="22"/>
          <w:szCs w:val="22"/>
        </w:rPr>
        <w:t xml:space="preserve">Institutional and program graduation requirements are stated clearly in appropriate publications and are consistently applied in both the certificate and degree verification </w:t>
      </w:r>
      <w:r w:rsidR="004D2808" w:rsidRPr="008F3FE2">
        <w:rPr>
          <w:rFonts w:ascii="Arial" w:hAnsi="Arial" w:cs="Arial"/>
          <w:b/>
          <w:sz w:val="22"/>
          <w:szCs w:val="22"/>
        </w:rPr>
        <w:t>process. Appropriate reference to the Student Right-to-Know Act is included in required publications.</w:t>
      </w:r>
    </w:p>
    <w:p w:rsidR="00861746" w:rsidRPr="00294BB3" w:rsidRDefault="00861746" w:rsidP="001B4D6A">
      <w:pPr>
        <w:rPr>
          <w:rFonts w:ascii="Arial" w:hAnsi="Arial" w:cs="Arial"/>
          <w:b/>
          <w:sz w:val="22"/>
          <w:szCs w:val="22"/>
        </w:rPr>
      </w:pPr>
    </w:p>
    <w:p w:rsidR="00DA2853" w:rsidRPr="008B0519" w:rsidRDefault="00DA2853" w:rsidP="001B4D6A">
      <w:pPr>
        <w:rPr>
          <w:rFonts w:ascii="Arial" w:hAnsi="Arial" w:cs="Arial"/>
          <w:sz w:val="22"/>
          <w:szCs w:val="22"/>
        </w:rPr>
      </w:pPr>
      <w:r w:rsidRPr="008B0519">
        <w:rPr>
          <w:rFonts w:ascii="Arial" w:hAnsi="Arial" w:cs="Arial"/>
          <w:sz w:val="22"/>
          <w:szCs w:val="22"/>
        </w:rPr>
        <w:t>Graduation requirements (institutional and programmatic) are clearly indicated within the</w:t>
      </w:r>
      <w:r w:rsidR="007B5431" w:rsidRPr="007B5431">
        <w:rPr>
          <w:rFonts w:ascii="Arial" w:hAnsi="Arial" w:cs="Arial"/>
          <w:sz w:val="22"/>
          <w:szCs w:val="22"/>
          <w:highlight w:val="lightGray"/>
          <w:u w:val="single"/>
        </w:rPr>
        <w:t xml:space="preserve"> </w:t>
      </w:r>
      <w:r w:rsidR="007B5431" w:rsidRPr="006E6410">
        <w:rPr>
          <w:rFonts w:ascii="Arial" w:hAnsi="Arial" w:cs="Arial"/>
          <w:sz w:val="22"/>
          <w:szCs w:val="22"/>
          <w:u w:val="single"/>
        </w:rPr>
        <w:t>Catalog</w:t>
      </w:r>
      <w:r w:rsidRPr="006E6410">
        <w:rPr>
          <w:rFonts w:ascii="Arial" w:hAnsi="Arial" w:cs="Arial"/>
          <w:sz w:val="22"/>
          <w:szCs w:val="22"/>
        </w:rPr>
        <w:t xml:space="preserve"> (pp 26-28</w:t>
      </w:r>
      <w:r w:rsidR="006E6410">
        <w:rPr>
          <w:rFonts w:ascii="Arial" w:hAnsi="Arial" w:cs="Arial"/>
          <w:sz w:val="22"/>
          <w:szCs w:val="22"/>
        </w:rPr>
        <w:t>.</w:t>
      </w:r>
      <w:r w:rsidR="001369EE" w:rsidRPr="006E6410">
        <w:rPr>
          <w:rFonts w:ascii="Arial" w:hAnsi="Arial" w:cs="Arial"/>
          <w:sz w:val="22"/>
          <w:szCs w:val="22"/>
        </w:rPr>
        <w:t>)</w:t>
      </w:r>
      <w:r w:rsidR="00F86FD1">
        <w:rPr>
          <w:rFonts w:ascii="Arial" w:hAnsi="Arial" w:cs="Arial"/>
          <w:sz w:val="22"/>
          <w:szCs w:val="22"/>
        </w:rPr>
        <w:t xml:space="preserve"> and</w:t>
      </w:r>
      <w:r w:rsidR="00631E66" w:rsidRPr="006E6410">
        <w:rPr>
          <w:rFonts w:ascii="Arial" w:hAnsi="Arial" w:cs="Arial"/>
          <w:sz w:val="22"/>
          <w:szCs w:val="22"/>
        </w:rPr>
        <w:t xml:space="preserve"> with</w:t>
      </w:r>
      <w:r w:rsidR="00113B3B" w:rsidRPr="006E6410">
        <w:rPr>
          <w:rFonts w:ascii="Arial" w:hAnsi="Arial" w:cs="Arial"/>
          <w:sz w:val="22"/>
          <w:szCs w:val="22"/>
        </w:rPr>
        <w:t>in</w:t>
      </w:r>
      <w:r w:rsidR="00113B3B">
        <w:rPr>
          <w:rFonts w:ascii="Arial" w:hAnsi="Arial" w:cs="Arial"/>
          <w:sz w:val="22"/>
          <w:szCs w:val="22"/>
        </w:rPr>
        <w:t xml:space="preserve"> each department</w:t>
      </w:r>
      <w:r w:rsidR="001369EE">
        <w:rPr>
          <w:rFonts w:ascii="Arial" w:hAnsi="Arial" w:cs="Arial"/>
          <w:sz w:val="22"/>
          <w:szCs w:val="22"/>
        </w:rPr>
        <w:t xml:space="preserve"> section</w:t>
      </w:r>
      <w:r w:rsidRPr="008B0519">
        <w:rPr>
          <w:rFonts w:ascii="Arial" w:hAnsi="Arial" w:cs="Arial"/>
          <w:sz w:val="22"/>
          <w:szCs w:val="22"/>
        </w:rPr>
        <w:t xml:space="preserve">.  A structured course substitution/course waiver process exists for any instances when a student might vary from the current curriculum </w:t>
      </w:r>
      <w:r w:rsidRPr="00CA076D">
        <w:rPr>
          <w:rFonts w:ascii="Arial" w:hAnsi="Arial" w:cs="Arial"/>
          <w:sz w:val="22"/>
          <w:szCs w:val="22"/>
        </w:rPr>
        <w:t>requirements.</w:t>
      </w:r>
      <w:r w:rsidR="00631E66" w:rsidRPr="00CA076D">
        <w:rPr>
          <w:rFonts w:ascii="Arial" w:hAnsi="Arial" w:cs="Arial"/>
          <w:sz w:val="22"/>
          <w:szCs w:val="22"/>
        </w:rPr>
        <w:t xml:space="preserve"> </w:t>
      </w:r>
      <w:r w:rsidR="003C173F" w:rsidRPr="00CA076D">
        <w:rPr>
          <w:rFonts w:ascii="Arial" w:hAnsi="Arial" w:cs="Arial"/>
          <w:sz w:val="22"/>
          <w:szCs w:val="22"/>
        </w:rPr>
        <w:t>Exhibit 3.D.I</w:t>
      </w:r>
      <w:r w:rsidR="00F459A7">
        <w:rPr>
          <w:rFonts w:ascii="Arial" w:hAnsi="Arial" w:cs="Arial"/>
          <w:sz w:val="22"/>
          <w:szCs w:val="22"/>
        </w:rPr>
        <w:t>I</w:t>
      </w:r>
      <w:r w:rsidR="007B5431" w:rsidRPr="00CA076D">
        <w:rPr>
          <w:rFonts w:ascii="Arial" w:hAnsi="Arial" w:cs="Arial"/>
          <w:sz w:val="22"/>
          <w:szCs w:val="22"/>
        </w:rPr>
        <w:t>:</w:t>
      </w:r>
      <w:r w:rsidR="004663ED" w:rsidRPr="00CA076D">
        <w:rPr>
          <w:rFonts w:ascii="Arial" w:hAnsi="Arial" w:cs="Arial"/>
          <w:sz w:val="22"/>
          <w:szCs w:val="22"/>
        </w:rPr>
        <w:t xml:space="preserve"> </w:t>
      </w:r>
      <w:hyperlink r:id="rId47" w:history="1">
        <w:r w:rsidR="004663ED" w:rsidRPr="00330EF3">
          <w:rPr>
            <w:rStyle w:val="Hyperlink"/>
            <w:rFonts w:ascii="Arial" w:hAnsi="Arial" w:cs="Arial"/>
            <w:i/>
            <w:sz w:val="22"/>
            <w:szCs w:val="22"/>
          </w:rPr>
          <w:t>Application for Degree Forms</w:t>
        </w:r>
      </w:hyperlink>
      <w:r w:rsidR="007B5431" w:rsidRPr="00CA076D">
        <w:rPr>
          <w:rFonts w:ascii="Arial" w:hAnsi="Arial" w:cs="Arial"/>
          <w:sz w:val="22"/>
          <w:szCs w:val="22"/>
        </w:rPr>
        <w:t xml:space="preserve"> </w:t>
      </w:r>
      <w:r w:rsidR="00875886" w:rsidRPr="00CA076D">
        <w:rPr>
          <w:rFonts w:ascii="Arial" w:hAnsi="Arial" w:cs="Arial"/>
          <w:sz w:val="22"/>
          <w:szCs w:val="22"/>
        </w:rPr>
        <w:t>provide</w:t>
      </w:r>
      <w:r w:rsidR="007B5431" w:rsidRPr="00CA076D">
        <w:rPr>
          <w:rFonts w:ascii="Arial" w:hAnsi="Arial" w:cs="Arial"/>
          <w:sz w:val="22"/>
          <w:szCs w:val="22"/>
        </w:rPr>
        <w:t>s</w:t>
      </w:r>
      <w:r w:rsidR="00875886" w:rsidRPr="008B0519">
        <w:rPr>
          <w:rFonts w:ascii="Arial" w:hAnsi="Arial" w:cs="Arial"/>
          <w:sz w:val="22"/>
          <w:szCs w:val="22"/>
        </w:rPr>
        <w:t xml:space="preserve"> the structure for ap</w:t>
      </w:r>
      <w:r w:rsidR="0072236E">
        <w:rPr>
          <w:rFonts w:ascii="Arial" w:hAnsi="Arial" w:cs="Arial"/>
          <w:sz w:val="22"/>
          <w:szCs w:val="22"/>
        </w:rPr>
        <w:t>propriate advisor, department, and</w:t>
      </w:r>
      <w:r w:rsidR="00875886" w:rsidRPr="008B0519">
        <w:rPr>
          <w:rFonts w:ascii="Arial" w:hAnsi="Arial" w:cs="Arial"/>
          <w:sz w:val="22"/>
          <w:szCs w:val="22"/>
        </w:rPr>
        <w:t xml:space="preserve"> college review of the stu</w:t>
      </w:r>
      <w:r w:rsidR="007B5431">
        <w:rPr>
          <w:rFonts w:ascii="Arial" w:hAnsi="Arial" w:cs="Arial"/>
          <w:sz w:val="22"/>
          <w:szCs w:val="22"/>
        </w:rPr>
        <w:t>dent’s coursework</w:t>
      </w:r>
      <w:r w:rsidR="00875886">
        <w:rPr>
          <w:rFonts w:ascii="Arial" w:hAnsi="Arial" w:cs="Arial"/>
          <w:sz w:val="22"/>
          <w:szCs w:val="22"/>
        </w:rPr>
        <w:t xml:space="preserve"> and require</w:t>
      </w:r>
      <w:r w:rsidR="007B5431">
        <w:rPr>
          <w:rFonts w:ascii="Arial" w:hAnsi="Arial" w:cs="Arial"/>
          <w:sz w:val="22"/>
          <w:szCs w:val="22"/>
        </w:rPr>
        <w:t>s</w:t>
      </w:r>
      <w:r w:rsidR="00631E66">
        <w:rPr>
          <w:rFonts w:ascii="Arial" w:hAnsi="Arial" w:cs="Arial"/>
          <w:sz w:val="22"/>
          <w:szCs w:val="22"/>
        </w:rPr>
        <w:t xml:space="preserve"> signatures </w:t>
      </w:r>
      <w:r w:rsidR="007B5431">
        <w:rPr>
          <w:rFonts w:ascii="Arial" w:hAnsi="Arial" w:cs="Arial"/>
          <w:sz w:val="22"/>
          <w:szCs w:val="22"/>
        </w:rPr>
        <w:t xml:space="preserve">by </w:t>
      </w:r>
      <w:r w:rsidR="00631E66">
        <w:rPr>
          <w:rFonts w:ascii="Arial" w:hAnsi="Arial" w:cs="Arial"/>
          <w:sz w:val="22"/>
          <w:szCs w:val="22"/>
        </w:rPr>
        <w:t xml:space="preserve">the student, advisor, </w:t>
      </w:r>
      <w:r w:rsidR="007B5431">
        <w:rPr>
          <w:rFonts w:ascii="Arial" w:hAnsi="Arial" w:cs="Arial"/>
          <w:sz w:val="22"/>
          <w:szCs w:val="22"/>
        </w:rPr>
        <w:t xml:space="preserve">by the </w:t>
      </w:r>
      <w:r w:rsidR="00631E66">
        <w:rPr>
          <w:rFonts w:ascii="Arial" w:hAnsi="Arial" w:cs="Arial"/>
          <w:sz w:val="22"/>
          <w:szCs w:val="22"/>
        </w:rPr>
        <w:t xml:space="preserve">Department Head, academic Dean, and </w:t>
      </w:r>
      <w:r w:rsidR="007B5431">
        <w:rPr>
          <w:rFonts w:ascii="Arial" w:hAnsi="Arial" w:cs="Arial"/>
          <w:sz w:val="22"/>
          <w:szCs w:val="22"/>
        </w:rPr>
        <w:t xml:space="preserve">by </w:t>
      </w:r>
      <w:r w:rsidR="00631E66">
        <w:rPr>
          <w:rFonts w:ascii="Arial" w:hAnsi="Arial" w:cs="Arial"/>
          <w:sz w:val="22"/>
          <w:szCs w:val="22"/>
        </w:rPr>
        <w:t>the Business Office.</w:t>
      </w:r>
    </w:p>
    <w:p w:rsidR="00A40CB1" w:rsidRPr="00A40CB1" w:rsidRDefault="00A40CB1" w:rsidP="001B4D6A">
      <w:pPr>
        <w:rPr>
          <w:rFonts w:ascii="Arial" w:hAnsi="Arial" w:cs="Arial"/>
          <w:color w:val="0000FF"/>
        </w:rPr>
      </w:pPr>
    </w:p>
    <w:p w:rsidR="00EA3494" w:rsidRDefault="00EE0785" w:rsidP="001B4D6A">
      <w:pPr>
        <w:rPr>
          <w:rFonts w:ascii="Arial" w:hAnsi="Arial" w:cs="Arial"/>
          <w:sz w:val="22"/>
          <w:szCs w:val="22"/>
        </w:rPr>
      </w:pPr>
      <w:r w:rsidRPr="00483F20">
        <w:rPr>
          <w:rFonts w:ascii="Arial" w:hAnsi="Arial" w:cs="Arial"/>
          <w:sz w:val="22"/>
          <w:szCs w:val="22"/>
        </w:rPr>
        <w:t xml:space="preserve">Information required in </w:t>
      </w:r>
      <w:r w:rsidR="00D57F25" w:rsidRPr="00483F20">
        <w:rPr>
          <w:rFonts w:ascii="Arial" w:hAnsi="Arial" w:cs="Arial"/>
          <w:sz w:val="22"/>
          <w:szCs w:val="22"/>
        </w:rPr>
        <w:t>The Student Right-to-Kn</w:t>
      </w:r>
      <w:r w:rsidR="00875886" w:rsidRPr="00483F20">
        <w:rPr>
          <w:rFonts w:ascii="Arial" w:hAnsi="Arial" w:cs="Arial"/>
          <w:sz w:val="22"/>
          <w:szCs w:val="22"/>
        </w:rPr>
        <w:t>ow Act is published in the Student Handbook, Ca</w:t>
      </w:r>
      <w:r w:rsidR="00C243AF" w:rsidRPr="00483F20">
        <w:rPr>
          <w:rFonts w:ascii="Arial" w:hAnsi="Arial" w:cs="Arial"/>
          <w:sz w:val="22"/>
          <w:szCs w:val="22"/>
        </w:rPr>
        <w:t xml:space="preserve">talog, and </w:t>
      </w:r>
      <w:r w:rsidR="0072236E" w:rsidRPr="00483F20">
        <w:rPr>
          <w:rFonts w:ascii="Arial" w:hAnsi="Arial" w:cs="Arial"/>
          <w:sz w:val="22"/>
          <w:szCs w:val="22"/>
        </w:rPr>
        <w:t xml:space="preserve">on </w:t>
      </w:r>
      <w:r w:rsidR="00C243AF" w:rsidRPr="00483F20">
        <w:rPr>
          <w:rFonts w:ascii="Arial" w:hAnsi="Arial" w:cs="Arial"/>
          <w:sz w:val="22"/>
          <w:szCs w:val="22"/>
        </w:rPr>
        <w:t>the college website</w:t>
      </w:r>
      <w:r w:rsidR="00C6533F" w:rsidRPr="00EE0785">
        <w:rPr>
          <w:rFonts w:ascii="Arial" w:hAnsi="Arial" w:cs="Arial"/>
          <w:sz w:val="22"/>
          <w:szCs w:val="22"/>
        </w:rPr>
        <w:t xml:space="preserve"> </w:t>
      </w:r>
      <w:r w:rsidR="0072236E">
        <w:rPr>
          <w:rFonts w:ascii="Arial" w:hAnsi="Arial" w:cs="Arial"/>
          <w:sz w:val="22"/>
          <w:szCs w:val="22"/>
        </w:rPr>
        <w:t>(</w:t>
      </w:r>
      <w:hyperlink r:id="rId48" w:history="1">
        <w:r w:rsidR="00C243AF" w:rsidRPr="00EE0785">
          <w:rPr>
            <w:rStyle w:val="Hyperlink"/>
            <w:rFonts w:ascii="Arial" w:hAnsi="Arial" w:cs="Arial"/>
            <w:i/>
            <w:sz w:val="22"/>
            <w:szCs w:val="22"/>
          </w:rPr>
          <w:t>http://www.mtech.edu/onestop/grad_comp_rates.html</w:t>
        </w:r>
      </w:hyperlink>
      <w:r>
        <w:rPr>
          <w:rFonts w:ascii="Arial" w:hAnsi="Arial" w:cs="Arial"/>
          <w:sz w:val="22"/>
          <w:szCs w:val="22"/>
        </w:rPr>
        <w:t xml:space="preserve"> </w:t>
      </w:r>
      <w:r w:rsidRPr="0072236E">
        <w:rPr>
          <w:rFonts w:ascii="Arial" w:hAnsi="Arial" w:cs="Arial"/>
          <w:color w:val="0000FF"/>
          <w:sz w:val="22"/>
          <w:szCs w:val="22"/>
        </w:rPr>
        <w:t xml:space="preserve">and </w:t>
      </w:r>
      <w:hyperlink r:id="rId49" w:history="1">
        <w:r w:rsidR="009401B3" w:rsidRPr="00547BC2">
          <w:rPr>
            <w:rStyle w:val="Hyperlink"/>
            <w:rFonts w:ascii="Arial" w:hAnsi="Arial" w:cs="Arial"/>
            <w:sz w:val="22"/>
            <w:szCs w:val="22"/>
          </w:rPr>
          <w:t>http://www.mtech.edu/student_life/security/</w:t>
        </w:r>
      </w:hyperlink>
      <w:r w:rsidRPr="00547BC2">
        <w:rPr>
          <w:rFonts w:ascii="Arial" w:hAnsi="Arial" w:cs="Arial"/>
          <w:sz w:val="22"/>
          <w:szCs w:val="22"/>
        </w:rPr>
        <w:t>.</w:t>
      </w:r>
      <w:r w:rsidR="0072236E">
        <w:rPr>
          <w:rFonts w:ascii="Arial" w:hAnsi="Arial" w:cs="Arial"/>
          <w:sz w:val="22"/>
          <w:szCs w:val="22"/>
        </w:rPr>
        <w:t>)</w:t>
      </w:r>
    </w:p>
    <w:p w:rsidR="00EE0785" w:rsidRPr="00D45661" w:rsidRDefault="00EE0785" w:rsidP="001B4D6A">
      <w:pPr>
        <w:rPr>
          <w:rFonts w:ascii="Arial" w:hAnsi="Arial" w:cs="Arial"/>
          <w:sz w:val="22"/>
          <w:szCs w:val="22"/>
        </w:rPr>
        <w:sectPr w:rsidR="00EE0785" w:rsidRPr="00D45661" w:rsidSect="00B3315C">
          <w:footerReference w:type="default" r:id="rId50"/>
          <w:pgSz w:w="12240" w:h="15840"/>
          <w:pgMar w:top="1440" w:right="1440" w:bottom="1440" w:left="1440" w:header="720" w:footer="720" w:gutter="0"/>
          <w:cols w:space="720"/>
          <w:docGrid w:linePitch="360"/>
        </w:sectPr>
      </w:pPr>
    </w:p>
    <w:p w:rsidR="00C243AF" w:rsidRPr="00EA3494" w:rsidRDefault="00C243AF" w:rsidP="001B4D6A">
      <w:pPr>
        <w:rPr>
          <w:rFonts w:ascii="Arial" w:hAnsi="Arial" w:cs="Arial"/>
          <w:sz w:val="22"/>
          <w:szCs w:val="22"/>
        </w:rPr>
      </w:pPr>
    </w:p>
    <w:p w:rsidR="004D2808" w:rsidRDefault="009A392B" w:rsidP="001B4D6A">
      <w:pPr>
        <w:rPr>
          <w:rFonts w:ascii="Arial" w:hAnsi="Arial" w:cs="Arial"/>
          <w:b/>
          <w:sz w:val="22"/>
          <w:szCs w:val="22"/>
        </w:rPr>
      </w:pPr>
      <w:r>
        <w:rPr>
          <w:rFonts w:ascii="Arial" w:hAnsi="Arial" w:cs="Arial"/>
          <w:b/>
          <w:sz w:val="22"/>
          <w:szCs w:val="22"/>
        </w:rPr>
        <w:lastRenderedPageBreak/>
        <w:t>3.D.6</w:t>
      </w:r>
      <w:r>
        <w:rPr>
          <w:rFonts w:ascii="Arial" w:hAnsi="Arial" w:cs="Arial"/>
          <w:b/>
          <w:sz w:val="22"/>
          <w:szCs w:val="22"/>
        </w:rPr>
        <w:tab/>
      </w:r>
      <w:r w:rsidR="004D2808" w:rsidRPr="004D2808">
        <w:rPr>
          <w:rFonts w:ascii="Arial" w:hAnsi="Arial" w:cs="Arial"/>
          <w:b/>
          <w:sz w:val="22"/>
          <w:szCs w:val="22"/>
        </w:rPr>
        <w:t>The institution provides an effective program of financial aid consistent with its mission and goals, the needs of its students, and institutional resources. There is provision for institutional accountability for all financial aid awards.</w:t>
      </w:r>
    </w:p>
    <w:p w:rsidR="00F86FD1" w:rsidRPr="004D2808" w:rsidRDefault="00F86FD1" w:rsidP="001B4D6A">
      <w:pPr>
        <w:rPr>
          <w:rFonts w:ascii="Arial" w:hAnsi="Arial" w:cs="Arial"/>
          <w:b/>
          <w:sz w:val="22"/>
          <w:szCs w:val="22"/>
        </w:rPr>
      </w:pPr>
    </w:p>
    <w:p w:rsidR="00CF58B8" w:rsidRPr="00C6533F" w:rsidRDefault="00BD7D42" w:rsidP="001B4D6A">
      <w:pPr>
        <w:rPr>
          <w:rFonts w:ascii="Arial" w:hAnsi="Arial" w:cs="Arial"/>
          <w:sz w:val="22"/>
          <w:szCs w:val="22"/>
        </w:rPr>
      </w:pPr>
      <w:r w:rsidRPr="008B0519">
        <w:rPr>
          <w:rFonts w:ascii="Arial" w:hAnsi="Arial" w:cs="Arial"/>
          <w:sz w:val="22"/>
          <w:szCs w:val="22"/>
        </w:rPr>
        <w:t xml:space="preserve">Montana Tech provides eligible students with financial assistance consistent with all federal and state </w:t>
      </w:r>
      <w:r w:rsidRPr="00F86FD1">
        <w:rPr>
          <w:rFonts w:ascii="Arial" w:hAnsi="Arial" w:cs="Arial"/>
          <w:sz w:val="22"/>
          <w:szCs w:val="22"/>
        </w:rPr>
        <w:t>guidelines and in accord with the needs and ta</w:t>
      </w:r>
      <w:r w:rsidR="00C92393">
        <w:rPr>
          <w:rFonts w:ascii="Arial" w:hAnsi="Arial" w:cs="Arial"/>
          <w:sz w:val="22"/>
          <w:szCs w:val="22"/>
        </w:rPr>
        <w:t>lents of its</w:t>
      </w:r>
      <w:r w:rsidR="00D65B27" w:rsidRPr="00F86FD1">
        <w:rPr>
          <w:rFonts w:ascii="Arial" w:hAnsi="Arial" w:cs="Arial"/>
          <w:sz w:val="22"/>
          <w:szCs w:val="22"/>
        </w:rPr>
        <w:t xml:space="preserve"> students.</w:t>
      </w:r>
      <w:r w:rsidRPr="00F86FD1">
        <w:rPr>
          <w:rFonts w:ascii="Arial" w:hAnsi="Arial" w:cs="Arial"/>
          <w:sz w:val="22"/>
          <w:szCs w:val="22"/>
        </w:rPr>
        <w:t xml:space="preserve"> Accountability for all financial aid awards</w:t>
      </w:r>
      <w:r w:rsidR="00D65B27" w:rsidRPr="00F86FD1">
        <w:rPr>
          <w:rFonts w:ascii="Arial" w:hAnsi="Arial" w:cs="Arial"/>
          <w:sz w:val="22"/>
          <w:szCs w:val="22"/>
        </w:rPr>
        <w:t xml:space="preserve"> is assured by</w:t>
      </w:r>
      <w:r w:rsidRPr="00F86FD1">
        <w:rPr>
          <w:rFonts w:ascii="Arial" w:hAnsi="Arial" w:cs="Arial"/>
          <w:sz w:val="22"/>
          <w:szCs w:val="22"/>
        </w:rPr>
        <w:t xml:space="preserve"> adherence and compliance with all f</w:t>
      </w:r>
      <w:r w:rsidR="00D65B27" w:rsidRPr="00F86FD1">
        <w:rPr>
          <w:rFonts w:ascii="Arial" w:hAnsi="Arial" w:cs="Arial"/>
          <w:sz w:val="22"/>
          <w:szCs w:val="22"/>
        </w:rPr>
        <w:t>ederal and state regulations</w:t>
      </w:r>
      <w:r w:rsidR="00D65B27" w:rsidRPr="00621873">
        <w:rPr>
          <w:rFonts w:ascii="Arial" w:hAnsi="Arial" w:cs="Arial"/>
          <w:sz w:val="22"/>
          <w:szCs w:val="22"/>
        </w:rPr>
        <w:t xml:space="preserve">. </w:t>
      </w:r>
      <w:r w:rsidR="00121C0D" w:rsidRPr="00426457">
        <w:rPr>
          <w:rFonts w:ascii="Arial" w:hAnsi="Arial" w:cs="Arial"/>
          <w:sz w:val="22"/>
          <w:szCs w:val="22"/>
        </w:rPr>
        <w:t>(</w:t>
      </w:r>
      <w:r w:rsidR="00C6533F" w:rsidRPr="00426457">
        <w:rPr>
          <w:rFonts w:ascii="Arial" w:hAnsi="Arial" w:cs="Arial"/>
          <w:sz w:val="22"/>
          <w:szCs w:val="22"/>
        </w:rPr>
        <w:t xml:space="preserve">See </w:t>
      </w:r>
      <w:r w:rsidR="00121C0D" w:rsidRPr="00426457">
        <w:rPr>
          <w:rFonts w:ascii="Arial" w:hAnsi="Arial" w:cs="Arial"/>
          <w:sz w:val="22"/>
          <w:szCs w:val="22"/>
        </w:rPr>
        <w:t>Exhibit 3.D.I</w:t>
      </w:r>
      <w:r w:rsidR="00426457" w:rsidRPr="00426457">
        <w:rPr>
          <w:rFonts w:ascii="Arial" w:hAnsi="Arial" w:cs="Arial"/>
          <w:sz w:val="22"/>
          <w:szCs w:val="22"/>
        </w:rPr>
        <w:t>I</w:t>
      </w:r>
      <w:r w:rsidR="00121C0D" w:rsidRPr="00426457">
        <w:rPr>
          <w:rFonts w:ascii="Arial" w:hAnsi="Arial" w:cs="Arial"/>
          <w:sz w:val="22"/>
          <w:szCs w:val="22"/>
        </w:rPr>
        <w:t>I</w:t>
      </w:r>
      <w:r w:rsidR="00C6533F" w:rsidRPr="00426457">
        <w:rPr>
          <w:rFonts w:ascii="Arial" w:hAnsi="Arial" w:cs="Arial"/>
          <w:sz w:val="22"/>
          <w:szCs w:val="22"/>
        </w:rPr>
        <w:t>:</w:t>
      </w:r>
      <w:r w:rsidR="00121C0D" w:rsidRPr="00426457">
        <w:rPr>
          <w:rFonts w:ascii="Arial" w:hAnsi="Arial" w:cs="Arial"/>
          <w:sz w:val="22"/>
          <w:szCs w:val="22"/>
        </w:rPr>
        <w:t xml:space="preserve"> </w:t>
      </w:r>
      <w:r w:rsidR="00121C0D" w:rsidRPr="00426457">
        <w:rPr>
          <w:rFonts w:ascii="Arial" w:hAnsi="Arial" w:cs="Arial"/>
          <w:i/>
          <w:sz w:val="22"/>
          <w:szCs w:val="22"/>
          <w:u w:val="single"/>
        </w:rPr>
        <w:t>Financial Aid State Audits and Federal Program Reviews</w:t>
      </w:r>
      <w:r w:rsidR="005B0C78">
        <w:rPr>
          <w:rFonts w:ascii="Arial" w:hAnsi="Arial" w:cs="Arial"/>
          <w:i/>
          <w:sz w:val="22"/>
          <w:szCs w:val="22"/>
          <w:u w:val="single"/>
        </w:rPr>
        <w:t>.</w:t>
      </w:r>
      <w:r w:rsidR="00121C0D" w:rsidRPr="00426457">
        <w:rPr>
          <w:rFonts w:ascii="Arial" w:hAnsi="Arial" w:cs="Arial"/>
          <w:sz w:val="22"/>
          <w:szCs w:val="22"/>
        </w:rPr>
        <w:t xml:space="preserve">) </w:t>
      </w:r>
      <w:r w:rsidRPr="008B0519">
        <w:rPr>
          <w:rFonts w:ascii="Arial" w:hAnsi="Arial" w:cs="Arial"/>
          <w:sz w:val="22"/>
          <w:szCs w:val="22"/>
        </w:rPr>
        <w:t xml:space="preserve">The Enrollment Processing Office determines student eligibility for funding and awards those </w:t>
      </w:r>
      <w:r w:rsidR="00C92393" w:rsidRPr="008B0519">
        <w:rPr>
          <w:rFonts w:ascii="Arial" w:hAnsi="Arial" w:cs="Arial"/>
          <w:sz w:val="22"/>
          <w:szCs w:val="22"/>
        </w:rPr>
        <w:t>funds;</w:t>
      </w:r>
      <w:r w:rsidRPr="008B0519">
        <w:rPr>
          <w:rFonts w:ascii="Arial" w:hAnsi="Arial" w:cs="Arial"/>
          <w:sz w:val="22"/>
          <w:szCs w:val="22"/>
        </w:rPr>
        <w:t xml:space="preserve"> the </w:t>
      </w:r>
      <w:r w:rsidRPr="00C6533F">
        <w:rPr>
          <w:rFonts w:ascii="Arial" w:hAnsi="Arial" w:cs="Arial"/>
          <w:sz w:val="22"/>
          <w:szCs w:val="22"/>
        </w:rPr>
        <w:t>Business Office disburses the funds and delivers a</w:t>
      </w:r>
      <w:r w:rsidR="00673ECA" w:rsidRPr="00C6533F">
        <w:rPr>
          <w:rFonts w:ascii="Arial" w:hAnsi="Arial" w:cs="Arial"/>
          <w:sz w:val="22"/>
          <w:szCs w:val="22"/>
        </w:rPr>
        <w:t xml:space="preserve">ny credit balances to </w:t>
      </w:r>
      <w:r w:rsidR="00AB1C7D" w:rsidRPr="00C6533F">
        <w:rPr>
          <w:rFonts w:ascii="Arial" w:hAnsi="Arial" w:cs="Arial"/>
          <w:sz w:val="22"/>
          <w:szCs w:val="22"/>
        </w:rPr>
        <w:t>students.</w:t>
      </w:r>
    </w:p>
    <w:p w:rsidR="00CF58B8" w:rsidRPr="00C6533F" w:rsidRDefault="00CF58B8" w:rsidP="001B4D6A">
      <w:pPr>
        <w:rPr>
          <w:rFonts w:ascii="Arial" w:hAnsi="Arial" w:cs="Arial"/>
          <w:sz w:val="22"/>
          <w:szCs w:val="22"/>
        </w:rPr>
      </w:pPr>
    </w:p>
    <w:p w:rsidR="001A0ACD" w:rsidRPr="00C6533F" w:rsidRDefault="001A0ACD" w:rsidP="001B4D6A">
      <w:pPr>
        <w:rPr>
          <w:rFonts w:ascii="Arial" w:hAnsi="Arial" w:cs="Arial"/>
          <w:sz w:val="22"/>
          <w:szCs w:val="22"/>
          <w:highlight w:val="yellow"/>
        </w:rPr>
      </w:pPr>
      <w:r w:rsidRPr="00C6533F">
        <w:rPr>
          <w:rFonts w:ascii="Arial" w:hAnsi="Arial" w:cs="Arial"/>
          <w:sz w:val="22"/>
          <w:szCs w:val="22"/>
        </w:rPr>
        <w:t xml:space="preserve">The Enrollment Processing Office awards and disburses aid to </w:t>
      </w:r>
      <w:r w:rsidR="000E507C">
        <w:rPr>
          <w:rFonts w:ascii="Arial" w:hAnsi="Arial" w:cs="Arial"/>
          <w:sz w:val="22"/>
          <w:szCs w:val="22"/>
        </w:rPr>
        <w:t>more than</w:t>
      </w:r>
      <w:r w:rsidRPr="00C6533F">
        <w:rPr>
          <w:rFonts w:ascii="Arial" w:hAnsi="Arial" w:cs="Arial"/>
          <w:sz w:val="22"/>
          <w:szCs w:val="22"/>
        </w:rPr>
        <w:t xml:space="preserve"> 80% of our enrolle</w:t>
      </w:r>
      <w:r w:rsidR="0007517B">
        <w:rPr>
          <w:rFonts w:ascii="Arial" w:hAnsi="Arial" w:cs="Arial"/>
          <w:sz w:val="22"/>
          <w:szCs w:val="22"/>
        </w:rPr>
        <w:t>d students. More than</w:t>
      </w:r>
      <w:r w:rsidRPr="00C6533F">
        <w:rPr>
          <w:rFonts w:ascii="Arial" w:hAnsi="Arial" w:cs="Arial"/>
          <w:sz w:val="22"/>
          <w:szCs w:val="22"/>
        </w:rPr>
        <w:t xml:space="preserve"> $15,000,000 was disbursed during </w:t>
      </w:r>
      <w:r w:rsidR="0007517B">
        <w:rPr>
          <w:rFonts w:ascii="Arial" w:hAnsi="Arial" w:cs="Arial"/>
          <w:sz w:val="22"/>
          <w:szCs w:val="22"/>
        </w:rPr>
        <w:t xml:space="preserve">fiscal </w:t>
      </w:r>
      <w:r w:rsidRPr="00C6533F">
        <w:rPr>
          <w:rFonts w:ascii="Arial" w:hAnsi="Arial" w:cs="Arial"/>
          <w:sz w:val="22"/>
          <w:szCs w:val="22"/>
        </w:rPr>
        <w:t>year</w:t>
      </w:r>
      <w:r w:rsidR="0007517B">
        <w:rPr>
          <w:rFonts w:ascii="Arial" w:hAnsi="Arial" w:cs="Arial"/>
          <w:sz w:val="22"/>
          <w:szCs w:val="22"/>
        </w:rPr>
        <w:t xml:space="preserve"> 2009</w:t>
      </w:r>
      <w:r w:rsidRPr="00C6533F">
        <w:rPr>
          <w:rFonts w:ascii="Arial" w:hAnsi="Arial" w:cs="Arial"/>
          <w:sz w:val="22"/>
          <w:szCs w:val="22"/>
        </w:rPr>
        <w:t>. The types of aid disbursed included</w:t>
      </w:r>
      <w:r w:rsidR="00516B4F">
        <w:rPr>
          <w:rFonts w:ascii="Arial" w:hAnsi="Arial" w:cs="Arial"/>
          <w:sz w:val="22"/>
          <w:szCs w:val="22"/>
        </w:rPr>
        <w:t>:</w:t>
      </w:r>
      <w:r w:rsidRPr="00C6533F">
        <w:rPr>
          <w:rFonts w:ascii="Arial" w:hAnsi="Arial" w:cs="Arial"/>
          <w:sz w:val="22"/>
          <w:szCs w:val="22"/>
        </w:rPr>
        <w:t xml:space="preserve"> federal and state grants, work study, loans, private grants, internal and external scholarship support, and tuition waivers. These funding sources help our students pay for their higher education expenses which include tuition/fees, room/board, books and supplies, personal, and transportation expenses. These expenses are included in our cost of attendance budgets when awarding and disbursing aid</w:t>
      </w:r>
      <w:r w:rsidRPr="00F459A7">
        <w:rPr>
          <w:rFonts w:ascii="Arial" w:hAnsi="Arial" w:cs="Arial"/>
          <w:sz w:val="22"/>
          <w:szCs w:val="22"/>
        </w:rPr>
        <w:t xml:space="preserve">.  </w:t>
      </w:r>
      <w:r w:rsidR="00C6533F" w:rsidRPr="00F459A7">
        <w:rPr>
          <w:rFonts w:ascii="Arial" w:hAnsi="Arial" w:cs="Arial"/>
          <w:sz w:val="22"/>
          <w:szCs w:val="22"/>
        </w:rPr>
        <w:t>Figure</w:t>
      </w:r>
      <w:r w:rsidR="00F459A7" w:rsidRPr="00F459A7">
        <w:rPr>
          <w:rFonts w:ascii="Arial" w:hAnsi="Arial" w:cs="Arial"/>
          <w:sz w:val="22"/>
          <w:szCs w:val="22"/>
        </w:rPr>
        <w:t xml:space="preserve"> 3.D.</w:t>
      </w:r>
      <w:r w:rsidR="00060FD5">
        <w:rPr>
          <w:rFonts w:ascii="Arial" w:hAnsi="Arial" w:cs="Arial"/>
          <w:sz w:val="22"/>
          <w:szCs w:val="22"/>
        </w:rPr>
        <w:t>1</w:t>
      </w:r>
      <w:r w:rsidR="0007517B">
        <w:rPr>
          <w:rFonts w:ascii="Arial" w:hAnsi="Arial" w:cs="Arial"/>
          <w:sz w:val="22"/>
          <w:szCs w:val="22"/>
        </w:rPr>
        <w:t xml:space="preserve"> depicts a five-</w:t>
      </w:r>
      <w:r w:rsidRPr="00C6533F">
        <w:rPr>
          <w:rFonts w:ascii="Arial" w:hAnsi="Arial" w:cs="Arial"/>
          <w:sz w:val="22"/>
          <w:szCs w:val="22"/>
        </w:rPr>
        <w:t>year average disbursement for Montana Tech and the College of Technology.</w:t>
      </w:r>
    </w:p>
    <w:p w:rsidR="00CF58B8" w:rsidRDefault="00CF58B8" w:rsidP="001B4D6A">
      <w:pPr>
        <w:rPr>
          <w:rFonts w:ascii="Arial" w:hAnsi="Arial" w:cs="Arial"/>
          <w:color w:val="000000" w:themeColor="text1"/>
          <w:sz w:val="22"/>
          <w:szCs w:val="22"/>
        </w:rPr>
      </w:pPr>
    </w:p>
    <w:p w:rsidR="00CF58B8" w:rsidRDefault="00C326A0" w:rsidP="001B4D6A">
      <w:pPr>
        <w:jc w:val="center"/>
        <w:rPr>
          <w:rFonts w:ascii="Arial" w:hAnsi="Arial" w:cs="Arial"/>
          <w:color w:val="000000" w:themeColor="text1"/>
          <w:sz w:val="22"/>
          <w:szCs w:val="22"/>
        </w:rPr>
      </w:pPr>
      <w:r w:rsidRPr="00C326A0">
        <w:rPr>
          <w:noProof/>
          <w:szCs w:val="22"/>
          <w:lang w:eastAsia="en-US"/>
        </w:rPr>
        <w:drawing>
          <wp:inline distT="0" distB="0" distL="0" distR="0">
            <wp:extent cx="4477690" cy="3200400"/>
            <wp:effectExtent l="19050" t="0" r="0" b="0"/>
            <wp:docPr id="5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srcRect/>
                    <a:stretch>
                      <a:fillRect/>
                    </a:stretch>
                  </pic:blipFill>
                  <pic:spPr bwMode="auto">
                    <a:xfrm>
                      <a:off x="0" y="0"/>
                      <a:ext cx="4477690" cy="3200400"/>
                    </a:xfrm>
                    <a:prstGeom prst="rect">
                      <a:avLst/>
                    </a:prstGeom>
                    <a:noFill/>
                    <a:ln w="9525">
                      <a:noFill/>
                      <a:miter lim="800000"/>
                      <a:headEnd/>
                      <a:tailEnd/>
                    </a:ln>
                  </pic:spPr>
                </pic:pic>
              </a:graphicData>
            </a:graphic>
          </wp:inline>
        </w:drawing>
      </w:r>
    </w:p>
    <w:p w:rsidR="00C6533F" w:rsidRDefault="00C6533F" w:rsidP="001B4D6A">
      <w:pPr>
        <w:jc w:val="center"/>
        <w:rPr>
          <w:rFonts w:ascii="Arial" w:hAnsi="Arial" w:cs="Arial"/>
          <w:b/>
          <w:color w:val="000000" w:themeColor="text1"/>
          <w:sz w:val="22"/>
          <w:szCs w:val="22"/>
          <w:highlight w:val="lightGray"/>
        </w:rPr>
      </w:pPr>
    </w:p>
    <w:p w:rsidR="00C6533F" w:rsidRPr="001F6350" w:rsidRDefault="00C6533F" w:rsidP="001B4D6A">
      <w:pPr>
        <w:jc w:val="center"/>
        <w:rPr>
          <w:rFonts w:ascii="Arial" w:hAnsi="Arial" w:cs="Arial"/>
          <w:b/>
          <w:color w:val="000000" w:themeColor="text1"/>
          <w:sz w:val="22"/>
          <w:szCs w:val="22"/>
        </w:rPr>
      </w:pPr>
      <w:r w:rsidRPr="00060FD5">
        <w:rPr>
          <w:rFonts w:ascii="Arial" w:hAnsi="Arial" w:cs="Arial"/>
          <w:b/>
          <w:color w:val="000000" w:themeColor="text1"/>
          <w:sz w:val="22"/>
          <w:szCs w:val="22"/>
        </w:rPr>
        <w:t>Figure</w:t>
      </w:r>
      <w:r w:rsidR="00060FD5" w:rsidRPr="00060FD5">
        <w:rPr>
          <w:rFonts w:ascii="Arial" w:hAnsi="Arial" w:cs="Arial"/>
          <w:b/>
          <w:color w:val="000000" w:themeColor="text1"/>
          <w:sz w:val="22"/>
          <w:szCs w:val="22"/>
        </w:rPr>
        <w:t xml:space="preserve"> 3.D.1</w:t>
      </w:r>
      <w:r w:rsidRPr="00060FD5">
        <w:rPr>
          <w:rFonts w:ascii="Arial" w:hAnsi="Arial" w:cs="Arial"/>
          <w:b/>
          <w:color w:val="000000" w:themeColor="text1"/>
          <w:sz w:val="22"/>
          <w:szCs w:val="22"/>
        </w:rPr>
        <w:t>:</w:t>
      </w:r>
      <w:r>
        <w:rPr>
          <w:rFonts w:ascii="Arial" w:hAnsi="Arial" w:cs="Arial"/>
          <w:b/>
          <w:color w:val="000000" w:themeColor="text1"/>
          <w:sz w:val="22"/>
          <w:szCs w:val="22"/>
        </w:rPr>
        <w:t xml:space="preserve">  Five-Year Average</w:t>
      </w:r>
    </w:p>
    <w:p w:rsidR="001F6350" w:rsidRDefault="001F6350" w:rsidP="001B4D6A">
      <w:pPr>
        <w:rPr>
          <w:rFonts w:ascii="Arial" w:hAnsi="Arial" w:cs="Arial"/>
          <w:color w:val="000000" w:themeColor="text1"/>
          <w:sz w:val="22"/>
          <w:szCs w:val="22"/>
        </w:rPr>
      </w:pPr>
    </w:p>
    <w:p w:rsidR="00121C0D" w:rsidRPr="003454BD" w:rsidRDefault="00121C0D" w:rsidP="001B4D6A">
      <w:pPr>
        <w:rPr>
          <w:rFonts w:ascii="Arial" w:hAnsi="Arial" w:cs="Arial"/>
          <w:color w:val="000000" w:themeColor="text1"/>
          <w:sz w:val="22"/>
          <w:szCs w:val="22"/>
        </w:rPr>
      </w:pPr>
      <w:r w:rsidRPr="003454BD">
        <w:rPr>
          <w:rFonts w:ascii="Arial" w:hAnsi="Arial" w:cs="Arial"/>
          <w:color w:val="000000" w:themeColor="text1"/>
          <w:sz w:val="22"/>
          <w:szCs w:val="22"/>
        </w:rPr>
        <w:t xml:space="preserve">Montana’s nonprofit Student Assistance Foundation (SAF) opened a campus outreach office on the Montana Tech campus in 2007 </w:t>
      </w:r>
      <w:r w:rsidR="00083ECD">
        <w:rPr>
          <w:rFonts w:ascii="Arial" w:hAnsi="Arial" w:cs="Arial"/>
          <w:color w:val="000000" w:themeColor="text1"/>
          <w:sz w:val="22"/>
          <w:szCs w:val="22"/>
        </w:rPr>
        <w:t>to provide</w:t>
      </w:r>
      <w:r w:rsidRPr="003454BD">
        <w:rPr>
          <w:rFonts w:ascii="Arial" w:hAnsi="Arial" w:cs="Arial"/>
          <w:color w:val="000000" w:themeColor="text1"/>
          <w:sz w:val="22"/>
          <w:szCs w:val="22"/>
        </w:rPr>
        <w:t xml:space="preserve"> additional outreach services and resources to </w:t>
      </w:r>
      <w:r w:rsidR="00083ECD">
        <w:rPr>
          <w:rFonts w:ascii="Arial" w:hAnsi="Arial" w:cs="Arial"/>
          <w:color w:val="000000" w:themeColor="text1"/>
          <w:sz w:val="22"/>
          <w:szCs w:val="22"/>
        </w:rPr>
        <w:t xml:space="preserve">those </w:t>
      </w:r>
      <w:r w:rsidRPr="003454BD">
        <w:rPr>
          <w:rFonts w:ascii="Arial" w:hAnsi="Arial" w:cs="Arial"/>
          <w:color w:val="000000" w:themeColor="text1"/>
          <w:sz w:val="22"/>
          <w:szCs w:val="22"/>
        </w:rPr>
        <w:t>students preparing to</w:t>
      </w:r>
      <w:r w:rsidR="00083ECD">
        <w:rPr>
          <w:rFonts w:ascii="Arial" w:hAnsi="Arial" w:cs="Arial"/>
          <w:color w:val="000000" w:themeColor="text1"/>
          <w:sz w:val="22"/>
          <w:szCs w:val="22"/>
        </w:rPr>
        <w:t xml:space="preserve"> enter</w:t>
      </w:r>
      <w:r w:rsidR="004663ED">
        <w:rPr>
          <w:rFonts w:ascii="Arial" w:hAnsi="Arial" w:cs="Arial"/>
          <w:color w:val="000000" w:themeColor="text1"/>
          <w:sz w:val="22"/>
          <w:szCs w:val="22"/>
        </w:rPr>
        <w:t xml:space="preserve"> and </w:t>
      </w:r>
      <w:r w:rsidR="00083ECD">
        <w:rPr>
          <w:rFonts w:ascii="Arial" w:hAnsi="Arial" w:cs="Arial"/>
          <w:color w:val="000000" w:themeColor="text1"/>
          <w:sz w:val="22"/>
          <w:szCs w:val="22"/>
        </w:rPr>
        <w:t xml:space="preserve">to those </w:t>
      </w:r>
      <w:r w:rsidR="004663ED">
        <w:rPr>
          <w:rFonts w:ascii="Arial" w:hAnsi="Arial" w:cs="Arial"/>
          <w:color w:val="000000" w:themeColor="text1"/>
          <w:sz w:val="22"/>
          <w:szCs w:val="22"/>
        </w:rPr>
        <w:t>already attending</w:t>
      </w:r>
      <w:r w:rsidRPr="003454BD">
        <w:rPr>
          <w:rFonts w:ascii="Arial" w:hAnsi="Arial" w:cs="Arial"/>
          <w:color w:val="000000" w:themeColor="text1"/>
          <w:sz w:val="22"/>
          <w:szCs w:val="22"/>
        </w:rPr>
        <w:t xml:space="preserve"> college. SAF provides college and career counseling, along with financial literacy and debt management outreach through a wide range of programs and services.</w:t>
      </w:r>
    </w:p>
    <w:p w:rsidR="00121C0D" w:rsidRPr="003454BD" w:rsidRDefault="00121C0D" w:rsidP="001B4D6A">
      <w:pPr>
        <w:rPr>
          <w:rFonts w:ascii="Arial" w:hAnsi="Arial" w:cs="Arial"/>
          <w:color w:val="000000" w:themeColor="text1"/>
          <w:sz w:val="22"/>
          <w:szCs w:val="22"/>
        </w:rPr>
      </w:pPr>
      <w:r w:rsidRPr="003454BD">
        <w:rPr>
          <w:rFonts w:ascii="Arial" w:hAnsi="Arial" w:cs="Arial"/>
          <w:color w:val="000000" w:themeColor="text1"/>
          <w:sz w:val="22"/>
          <w:szCs w:val="22"/>
        </w:rPr>
        <w:t xml:space="preserve"> </w:t>
      </w:r>
    </w:p>
    <w:p w:rsidR="00121C0D" w:rsidRPr="003454BD" w:rsidRDefault="00121C0D" w:rsidP="001B4D6A">
      <w:pPr>
        <w:rPr>
          <w:rFonts w:ascii="Arial" w:hAnsi="Arial" w:cs="Arial"/>
          <w:color w:val="000000" w:themeColor="text1"/>
          <w:sz w:val="22"/>
          <w:szCs w:val="22"/>
        </w:rPr>
      </w:pPr>
      <w:r w:rsidRPr="003454BD">
        <w:rPr>
          <w:rFonts w:ascii="Arial" w:hAnsi="Arial" w:cs="Arial"/>
          <w:color w:val="000000" w:themeColor="text1"/>
          <w:sz w:val="22"/>
          <w:szCs w:val="22"/>
        </w:rPr>
        <w:lastRenderedPageBreak/>
        <w:t>For example, through the SAF-sponsored Montana Career Information System (MCIS),</w:t>
      </w:r>
      <w:r w:rsidRPr="00D45661">
        <w:rPr>
          <w:rFonts w:ascii="Arial" w:hAnsi="Arial" w:cs="Arial"/>
          <w:color w:val="17365D" w:themeColor="text2" w:themeShade="BF"/>
          <w:sz w:val="22"/>
          <w:szCs w:val="22"/>
        </w:rPr>
        <w:t xml:space="preserve"> </w:t>
      </w:r>
      <w:r w:rsidRPr="003454BD">
        <w:rPr>
          <w:rFonts w:ascii="Arial" w:hAnsi="Arial" w:cs="Arial"/>
          <w:color w:val="000000" w:themeColor="text1"/>
          <w:sz w:val="22"/>
          <w:szCs w:val="22"/>
        </w:rPr>
        <w:t>students can identify their interests and skills through assessment tests like O*NET Interest Profiler, Work Importance Locator</w:t>
      </w:r>
      <w:r w:rsidR="00083ECD">
        <w:rPr>
          <w:rFonts w:ascii="Arial" w:hAnsi="Arial" w:cs="Arial"/>
          <w:color w:val="000000" w:themeColor="text1"/>
          <w:sz w:val="22"/>
          <w:szCs w:val="22"/>
        </w:rPr>
        <w:t>,</w:t>
      </w:r>
      <w:r w:rsidRPr="003454BD">
        <w:rPr>
          <w:rFonts w:ascii="Arial" w:hAnsi="Arial" w:cs="Arial"/>
          <w:color w:val="000000" w:themeColor="text1"/>
          <w:sz w:val="22"/>
          <w:szCs w:val="22"/>
        </w:rPr>
        <w:t xml:space="preserve"> and Micro-SKILLS. Then, students are able to search a database of more than 3,500 colleges and universities in the U</w:t>
      </w:r>
      <w:r w:rsidR="003C1427">
        <w:rPr>
          <w:rFonts w:ascii="Arial" w:hAnsi="Arial" w:cs="Arial"/>
          <w:color w:val="000000" w:themeColor="text1"/>
          <w:sz w:val="22"/>
          <w:szCs w:val="22"/>
        </w:rPr>
        <w:t>.</w:t>
      </w:r>
      <w:r w:rsidRPr="003454BD">
        <w:rPr>
          <w:rFonts w:ascii="Arial" w:hAnsi="Arial" w:cs="Arial"/>
          <w:color w:val="000000" w:themeColor="text1"/>
          <w:sz w:val="22"/>
          <w:szCs w:val="22"/>
        </w:rPr>
        <w:t>S</w:t>
      </w:r>
      <w:r w:rsidR="003C1427">
        <w:rPr>
          <w:rFonts w:ascii="Arial" w:hAnsi="Arial" w:cs="Arial"/>
          <w:color w:val="000000" w:themeColor="text1"/>
          <w:sz w:val="22"/>
          <w:szCs w:val="22"/>
        </w:rPr>
        <w:t>.</w:t>
      </w:r>
      <w:r w:rsidRPr="003454BD">
        <w:rPr>
          <w:rFonts w:ascii="Arial" w:hAnsi="Arial" w:cs="Arial"/>
          <w:color w:val="000000" w:themeColor="text1"/>
          <w:sz w:val="22"/>
          <w:szCs w:val="22"/>
        </w:rPr>
        <w:t>, explore information on more than 500 c</w:t>
      </w:r>
      <w:r w:rsidR="004663ED">
        <w:rPr>
          <w:rFonts w:ascii="Arial" w:hAnsi="Arial" w:cs="Arial"/>
          <w:color w:val="000000" w:themeColor="text1"/>
          <w:sz w:val="22"/>
          <w:szCs w:val="22"/>
        </w:rPr>
        <w:t>areer opportunities, and follow-</w:t>
      </w:r>
      <w:r w:rsidR="00516B4F">
        <w:rPr>
          <w:rFonts w:ascii="Arial" w:hAnsi="Arial" w:cs="Arial"/>
          <w:color w:val="000000" w:themeColor="text1"/>
          <w:sz w:val="22"/>
          <w:szCs w:val="22"/>
        </w:rPr>
        <w:t>up with</w:t>
      </w:r>
      <w:r w:rsidRPr="003454BD">
        <w:rPr>
          <w:rFonts w:ascii="Arial" w:hAnsi="Arial" w:cs="Arial"/>
          <w:color w:val="000000" w:themeColor="text1"/>
          <w:sz w:val="22"/>
          <w:szCs w:val="22"/>
        </w:rPr>
        <w:t xml:space="preserve"> leads on more than 3,200 scholarships.</w:t>
      </w:r>
    </w:p>
    <w:p w:rsidR="00121C0D" w:rsidRPr="003454BD" w:rsidRDefault="00121C0D" w:rsidP="001B4D6A">
      <w:pPr>
        <w:rPr>
          <w:rFonts w:ascii="Arial" w:hAnsi="Arial" w:cs="Arial"/>
          <w:color w:val="000000" w:themeColor="text1"/>
          <w:sz w:val="22"/>
          <w:szCs w:val="22"/>
        </w:rPr>
      </w:pPr>
    </w:p>
    <w:p w:rsidR="00121C0D" w:rsidRPr="003454BD" w:rsidRDefault="00121C0D" w:rsidP="001B4D6A">
      <w:pPr>
        <w:rPr>
          <w:rFonts w:ascii="Arial" w:hAnsi="Arial" w:cs="Arial"/>
          <w:color w:val="000000" w:themeColor="text1"/>
          <w:sz w:val="22"/>
          <w:szCs w:val="22"/>
        </w:rPr>
      </w:pPr>
      <w:r w:rsidRPr="003454BD">
        <w:rPr>
          <w:rFonts w:ascii="Arial" w:hAnsi="Arial" w:cs="Arial"/>
          <w:color w:val="000000" w:themeColor="text1"/>
          <w:sz w:val="22"/>
          <w:szCs w:val="22"/>
        </w:rPr>
        <w:t>In addition, SAF works diligently through a variety of methods to help students and their families understand how student loans can help them attain their dreams of postsecondary education, and what effect those loans could have after graduation. Campus outreach managers provide loan entrance and exit counseling for students</w:t>
      </w:r>
      <w:r w:rsidR="00083ECD">
        <w:rPr>
          <w:rFonts w:ascii="Arial" w:hAnsi="Arial" w:cs="Arial"/>
          <w:color w:val="000000" w:themeColor="text1"/>
          <w:sz w:val="22"/>
          <w:szCs w:val="22"/>
        </w:rPr>
        <w:t>.  They</w:t>
      </w:r>
      <w:r w:rsidRPr="003454BD">
        <w:rPr>
          <w:rFonts w:ascii="Arial" w:hAnsi="Arial" w:cs="Arial"/>
          <w:color w:val="000000" w:themeColor="text1"/>
          <w:sz w:val="22"/>
          <w:szCs w:val="22"/>
        </w:rPr>
        <w:t xml:space="preserve"> </w:t>
      </w:r>
      <w:r w:rsidR="00083ECD">
        <w:rPr>
          <w:rFonts w:ascii="Arial" w:hAnsi="Arial" w:cs="Arial"/>
          <w:color w:val="000000" w:themeColor="text1"/>
          <w:sz w:val="22"/>
          <w:szCs w:val="22"/>
        </w:rPr>
        <w:t xml:space="preserve">also </w:t>
      </w:r>
      <w:r w:rsidRPr="003454BD">
        <w:rPr>
          <w:rFonts w:ascii="Arial" w:hAnsi="Arial" w:cs="Arial"/>
          <w:color w:val="000000" w:themeColor="text1"/>
          <w:sz w:val="22"/>
          <w:szCs w:val="22"/>
        </w:rPr>
        <w:t xml:space="preserve">expand upon those efforts by educating students about </w:t>
      </w:r>
      <w:r w:rsidR="00083ECD">
        <w:rPr>
          <w:rFonts w:ascii="Arial" w:hAnsi="Arial" w:cs="Arial"/>
          <w:color w:val="000000" w:themeColor="text1"/>
          <w:sz w:val="22"/>
          <w:szCs w:val="22"/>
        </w:rPr>
        <w:t xml:space="preserve">their </w:t>
      </w:r>
      <w:r w:rsidRPr="003454BD">
        <w:rPr>
          <w:rFonts w:ascii="Arial" w:hAnsi="Arial" w:cs="Arial"/>
          <w:color w:val="000000" w:themeColor="text1"/>
          <w:sz w:val="22"/>
          <w:szCs w:val="22"/>
        </w:rPr>
        <w:t xml:space="preserve">repayment rights and responsibilities, </w:t>
      </w:r>
      <w:r w:rsidR="00083ECD">
        <w:rPr>
          <w:rFonts w:ascii="Arial" w:hAnsi="Arial" w:cs="Arial"/>
          <w:color w:val="000000" w:themeColor="text1"/>
          <w:sz w:val="22"/>
          <w:szCs w:val="22"/>
        </w:rPr>
        <w:t>and by explaining to students about</w:t>
      </w:r>
      <w:r w:rsidRPr="003454BD">
        <w:rPr>
          <w:rFonts w:ascii="Arial" w:hAnsi="Arial" w:cs="Arial"/>
          <w:color w:val="000000" w:themeColor="text1"/>
          <w:sz w:val="22"/>
          <w:szCs w:val="22"/>
        </w:rPr>
        <w:t xml:space="preserve"> debt management as they pursue their degree programs. That emphasis on default aversion education and assistance usually translates </w:t>
      </w:r>
      <w:r w:rsidR="00083ECD">
        <w:rPr>
          <w:rFonts w:ascii="Arial" w:hAnsi="Arial" w:cs="Arial"/>
          <w:color w:val="000000" w:themeColor="text1"/>
          <w:sz w:val="22"/>
          <w:szCs w:val="22"/>
        </w:rPr>
        <w:t>in</w:t>
      </w:r>
      <w:r w:rsidRPr="003454BD">
        <w:rPr>
          <w:rFonts w:ascii="Arial" w:hAnsi="Arial" w:cs="Arial"/>
          <w:color w:val="000000" w:themeColor="text1"/>
          <w:sz w:val="22"/>
          <w:szCs w:val="22"/>
        </w:rPr>
        <w:t xml:space="preserve">to lower default rates and </w:t>
      </w:r>
      <w:r w:rsidR="00083ECD">
        <w:rPr>
          <w:rFonts w:ascii="Arial" w:hAnsi="Arial" w:cs="Arial"/>
          <w:color w:val="000000" w:themeColor="text1"/>
          <w:sz w:val="22"/>
          <w:szCs w:val="22"/>
        </w:rPr>
        <w:t>enhances the ability of</w:t>
      </w:r>
      <w:r w:rsidRPr="003454BD">
        <w:rPr>
          <w:rFonts w:ascii="Arial" w:hAnsi="Arial" w:cs="Arial"/>
          <w:color w:val="000000" w:themeColor="text1"/>
          <w:sz w:val="22"/>
          <w:szCs w:val="22"/>
        </w:rPr>
        <w:t xml:space="preserve"> the school and students to retain Title IV eligibility.</w:t>
      </w:r>
    </w:p>
    <w:p w:rsidR="00121C0D" w:rsidRPr="00177239" w:rsidRDefault="00121C0D" w:rsidP="001B4D6A">
      <w:pPr>
        <w:rPr>
          <w:rFonts w:ascii="Arial" w:hAnsi="Arial" w:cs="Arial"/>
          <w:sz w:val="22"/>
          <w:szCs w:val="22"/>
        </w:rPr>
      </w:pPr>
    </w:p>
    <w:p w:rsidR="004D2808" w:rsidRDefault="009A392B" w:rsidP="001B4D6A">
      <w:pPr>
        <w:rPr>
          <w:rFonts w:ascii="Arial" w:hAnsi="Arial" w:cs="Arial"/>
          <w:b/>
          <w:sz w:val="22"/>
          <w:szCs w:val="22"/>
        </w:rPr>
      </w:pPr>
      <w:r>
        <w:rPr>
          <w:rFonts w:ascii="Arial" w:hAnsi="Arial" w:cs="Arial"/>
          <w:b/>
          <w:sz w:val="22"/>
          <w:szCs w:val="22"/>
        </w:rPr>
        <w:t>3.D.7</w:t>
      </w:r>
      <w:r>
        <w:rPr>
          <w:rFonts w:ascii="Arial" w:hAnsi="Arial" w:cs="Arial"/>
          <w:b/>
          <w:sz w:val="22"/>
          <w:szCs w:val="22"/>
        </w:rPr>
        <w:tab/>
      </w:r>
      <w:r w:rsidR="004D2808" w:rsidRPr="004D2808">
        <w:rPr>
          <w:rFonts w:ascii="Arial" w:hAnsi="Arial" w:cs="Arial"/>
          <w:b/>
          <w:sz w:val="22"/>
          <w:szCs w:val="22"/>
        </w:rPr>
        <w:t>Information regarding the categories of financial assistance (scholarships and grants) is published and made available to both prospective and enrolled students.</w:t>
      </w:r>
    </w:p>
    <w:p w:rsidR="00840AD0" w:rsidRPr="004D2808" w:rsidRDefault="00840AD0" w:rsidP="001B4D6A">
      <w:pPr>
        <w:rPr>
          <w:rFonts w:ascii="Arial" w:hAnsi="Arial" w:cs="Arial"/>
          <w:b/>
          <w:sz w:val="22"/>
          <w:szCs w:val="22"/>
        </w:rPr>
      </w:pPr>
    </w:p>
    <w:p w:rsidR="00BD7D42" w:rsidRDefault="00083ECD" w:rsidP="001B4D6A">
      <w:pPr>
        <w:rPr>
          <w:rFonts w:ascii="Arial" w:hAnsi="Arial" w:cs="Arial"/>
          <w:sz w:val="22"/>
          <w:szCs w:val="22"/>
        </w:rPr>
      </w:pPr>
      <w:r>
        <w:rPr>
          <w:rFonts w:ascii="Arial" w:hAnsi="Arial" w:cs="Arial"/>
          <w:sz w:val="22"/>
          <w:szCs w:val="22"/>
        </w:rPr>
        <w:t>Both t</w:t>
      </w:r>
      <w:r w:rsidR="00BD7D42" w:rsidRPr="008B0519">
        <w:rPr>
          <w:rFonts w:ascii="Arial" w:hAnsi="Arial" w:cs="Arial"/>
          <w:sz w:val="22"/>
          <w:szCs w:val="22"/>
        </w:rPr>
        <w:t xml:space="preserve">he Enrollment Processing </w:t>
      </w:r>
      <w:r>
        <w:rPr>
          <w:rFonts w:ascii="Arial" w:hAnsi="Arial" w:cs="Arial"/>
          <w:sz w:val="22"/>
          <w:szCs w:val="22"/>
        </w:rPr>
        <w:t xml:space="preserve">Office </w:t>
      </w:r>
      <w:r w:rsidR="00BD7D42" w:rsidRPr="008B0519">
        <w:rPr>
          <w:rFonts w:ascii="Arial" w:hAnsi="Arial" w:cs="Arial"/>
          <w:sz w:val="22"/>
          <w:szCs w:val="22"/>
        </w:rPr>
        <w:t xml:space="preserve">and </w:t>
      </w:r>
      <w:r>
        <w:rPr>
          <w:rFonts w:ascii="Arial" w:hAnsi="Arial" w:cs="Arial"/>
          <w:sz w:val="22"/>
          <w:szCs w:val="22"/>
        </w:rPr>
        <w:t xml:space="preserve">the </w:t>
      </w:r>
      <w:r w:rsidR="00BD7D42" w:rsidRPr="008B0519">
        <w:rPr>
          <w:rFonts w:ascii="Arial" w:hAnsi="Arial" w:cs="Arial"/>
          <w:sz w:val="22"/>
          <w:szCs w:val="22"/>
        </w:rPr>
        <w:t xml:space="preserve">Enrollment Services Office </w:t>
      </w:r>
      <w:r w:rsidR="00A40CB1" w:rsidRPr="008B0519">
        <w:rPr>
          <w:rFonts w:ascii="Arial" w:hAnsi="Arial" w:cs="Arial"/>
          <w:sz w:val="22"/>
          <w:szCs w:val="22"/>
        </w:rPr>
        <w:t>disburse</w:t>
      </w:r>
      <w:r w:rsidR="00BD7D42" w:rsidRPr="008B0519">
        <w:rPr>
          <w:rFonts w:ascii="Arial" w:hAnsi="Arial" w:cs="Arial"/>
          <w:sz w:val="22"/>
          <w:szCs w:val="22"/>
        </w:rPr>
        <w:t xml:space="preserve"> necessary forms to obtain federal, state, and institutional aid. Montana Tech offers students a variety of grants, loans, and scholarships. Information </w:t>
      </w:r>
      <w:r>
        <w:rPr>
          <w:rFonts w:ascii="Arial" w:hAnsi="Arial" w:cs="Arial"/>
          <w:sz w:val="22"/>
          <w:szCs w:val="22"/>
        </w:rPr>
        <w:t>on</w:t>
      </w:r>
      <w:r w:rsidR="00BD7D42" w:rsidRPr="008B0519">
        <w:rPr>
          <w:rFonts w:ascii="Arial" w:hAnsi="Arial" w:cs="Arial"/>
          <w:sz w:val="22"/>
          <w:szCs w:val="22"/>
        </w:rPr>
        <w:t xml:space="preserve"> various types of financial assi</w:t>
      </w:r>
      <w:r w:rsidR="00516B4F">
        <w:rPr>
          <w:rFonts w:ascii="Arial" w:hAnsi="Arial" w:cs="Arial"/>
          <w:sz w:val="22"/>
          <w:szCs w:val="22"/>
        </w:rPr>
        <w:t>stance is published annually</w:t>
      </w:r>
      <w:r w:rsidR="00BD7D42" w:rsidRPr="008B0519">
        <w:rPr>
          <w:rFonts w:ascii="Arial" w:hAnsi="Arial" w:cs="Arial"/>
          <w:sz w:val="22"/>
          <w:szCs w:val="22"/>
        </w:rPr>
        <w:t xml:space="preserve"> at http:www.mtech.edu/fa. For additional information regarding federal aid programs, individuals are encouraged to visit </w:t>
      </w:r>
      <w:hyperlink r:id="rId52" w:history="1">
        <w:r w:rsidR="00BD7D42" w:rsidRPr="00083ECD">
          <w:rPr>
            <w:rStyle w:val="Hyperlink"/>
            <w:rFonts w:ascii="Arial" w:hAnsi="Arial" w:cs="Arial"/>
            <w:i/>
            <w:sz w:val="22"/>
            <w:szCs w:val="22"/>
          </w:rPr>
          <w:t>http://www.studentaid.ed.gov</w:t>
        </w:r>
      </w:hyperlink>
      <w:r w:rsidR="00BD7D42" w:rsidRPr="00083ECD">
        <w:rPr>
          <w:rFonts w:ascii="Arial" w:hAnsi="Arial" w:cs="Arial"/>
          <w:i/>
          <w:color w:val="0000FF"/>
          <w:sz w:val="22"/>
          <w:szCs w:val="22"/>
        </w:rPr>
        <w:t>.</w:t>
      </w:r>
      <w:r w:rsidR="00BD7D42" w:rsidRPr="008B0519">
        <w:rPr>
          <w:rFonts w:ascii="Arial" w:hAnsi="Arial" w:cs="Arial"/>
          <w:sz w:val="22"/>
          <w:szCs w:val="22"/>
        </w:rPr>
        <w:t xml:space="preserve"> </w:t>
      </w:r>
    </w:p>
    <w:p w:rsidR="00547BC2" w:rsidRDefault="00547BC2" w:rsidP="001B4D6A">
      <w:pPr>
        <w:rPr>
          <w:rFonts w:ascii="Arial" w:hAnsi="Arial" w:cs="Arial"/>
          <w:sz w:val="22"/>
          <w:szCs w:val="22"/>
        </w:rPr>
      </w:pPr>
    </w:p>
    <w:p w:rsidR="005A266F" w:rsidRDefault="005A266F" w:rsidP="001B4D6A">
      <w:pPr>
        <w:rPr>
          <w:rFonts w:ascii="Arial" w:hAnsi="Arial" w:cs="Arial"/>
          <w:sz w:val="22"/>
          <w:szCs w:val="22"/>
        </w:rPr>
      </w:pPr>
    </w:p>
    <w:p w:rsidR="00D80660" w:rsidRPr="005B0C78" w:rsidRDefault="00D80660" w:rsidP="001B4D6A">
      <w:pPr>
        <w:jc w:val="center"/>
        <w:rPr>
          <w:rFonts w:ascii="Arial" w:hAnsi="Arial" w:cs="Arial"/>
          <w:b/>
          <w:sz w:val="20"/>
          <w:szCs w:val="20"/>
        </w:rPr>
      </w:pPr>
      <w:r w:rsidRPr="005B0C78">
        <w:rPr>
          <w:rFonts w:ascii="Arial" w:hAnsi="Arial" w:cs="Arial"/>
          <w:b/>
          <w:sz w:val="20"/>
          <w:szCs w:val="20"/>
        </w:rPr>
        <w:t>Closing the Loop</w:t>
      </w:r>
    </w:p>
    <w:p w:rsidR="00266949" w:rsidRPr="005B0C78" w:rsidRDefault="005B0C78" w:rsidP="001B4D6A">
      <w:pPr>
        <w:jc w:val="center"/>
        <w:rPr>
          <w:rFonts w:ascii="Arial" w:hAnsi="Arial" w:cs="Arial"/>
          <w:b/>
          <w:sz w:val="20"/>
          <w:szCs w:val="20"/>
        </w:rPr>
      </w:pPr>
      <w:r>
        <w:rPr>
          <w:rFonts w:ascii="Arial" w:hAnsi="Arial" w:cs="Arial"/>
          <w:b/>
          <w:sz w:val="20"/>
          <w:szCs w:val="20"/>
        </w:rPr>
        <w:t>Scholarship P</w:t>
      </w:r>
      <w:r w:rsidR="003C1427">
        <w:rPr>
          <w:rFonts w:ascii="Arial" w:hAnsi="Arial" w:cs="Arial"/>
          <w:b/>
          <w:sz w:val="20"/>
          <w:szCs w:val="20"/>
        </w:rPr>
        <w:t>roposal I</w:t>
      </w:r>
      <w:r w:rsidR="00266949" w:rsidRPr="005B0C78">
        <w:rPr>
          <w:rFonts w:ascii="Arial" w:hAnsi="Arial" w:cs="Arial"/>
          <w:b/>
          <w:sz w:val="20"/>
          <w:szCs w:val="20"/>
        </w:rPr>
        <w:t>mplemented</w:t>
      </w:r>
    </w:p>
    <w:p w:rsidR="00266949" w:rsidRPr="00547BC2" w:rsidRDefault="00266949" w:rsidP="001B4D6A">
      <w:pPr>
        <w:rPr>
          <w:rFonts w:ascii="Arial" w:hAnsi="Arial" w:cs="Arial"/>
          <w:sz w:val="20"/>
          <w:szCs w:val="20"/>
        </w:rPr>
      </w:pPr>
    </w:p>
    <w:p w:rsidR="00266949" w:rsidRDefault="00E21B15" w:rsidP="001B4D6A">
      <w:pPr>
        <w:rPr>
          <w:i/>
          <w:sz w:val="20"/>
          <w:szCs w:val="20"/>
        </w:rPr>
      </w:pPr>
      <w:r w:rsidRPr="00E21B15">
        <w:rPr>
          <w:rFonts w:ascii="Arial" w:hAnsi="Arial" w:cs="Arial"/>
          <w:noProof/>
          <w:sz w:val="20"/>
          <w:szCs w:val="20"/>
          <w:lang w:eastAsia="en-US"/>
        </w:rPr>
        <w:pict>
          <v:roundrect id="_x0000_s1040" style="position:absolute;margin-left:-13.8pt;margin-top:-43.05pt;width:495.6pt;height:188.55pt;z-index:-251613697" arcsize="10923f" fillcolor="#bfbfbf">
            <v:fill opacity="19661f"/>
            <w10:anchorlock/>
          </v:roundrect>
        </w:pict>
      </w:r>
      <w:r w:rsidR="004663ED" w:rsidRPr="00547BC2">
        <w:rPr>
          <w:rFonts w:ascii="Arial" w:hAnsi="Arial" w:cs="Arial"/>
          <w:sz w:val="20"/>
          <w:szCs w:val="20"/>
        </w:rPr>
        <w:t>T</w:t>
      </w:r>
      <w:r w:rsidR="00A43DE3">
        <w:rPr>
          <w:rFonts w:ascii="Arial" w:hAnsi="Arial" w:cs="Arial"/>
          <w:sz w:val="20"/>
          <w:szCs w:val="20"/>
        </w:rPr>
        <w:t>he Student S</w:t>
      </w:r>
      <w:r w:rsidR="00083ECD" w:rsidRPr="00547BC2">
        <w:rPr>
          <w:rFonts w:ascii="Arial" w:hAnsi="Arial" w:cs="Arial"/>
          <w:sz w:val="20"/>
          <w:szCs w:val="20"/>
        </w:rPr>
        <w:t>ervice restructur</w:t>
      </w:r>
      <w:r w:rsidR="00574F74" w:rsidRPr="00547BC2">
        <w:rPr>
          <w:rFonts w:ascii="Arial" w:hAnsi="Arial" w:cs="Arial"/>
          <w:sz w:val="20"/>
          <w:szCs w:val="20"/>
        </w:rPr>
        <w:t>e</w:t>
      </w:r>
      <w:r w:rsidR="00517AED" w:rsidRPr="00547BC2">
        <w:rPr>
          <w:rFonts w:ascii="Arial" w:hAnsi="Arial" w:cs="Arial"/>
          <w:sz w:val="20"/>
          <w:szCs w:val="20"/>
        </w:rPr>
        <w:t xml:space="preserve"> </w:t>
      </w:r>
      <w:r w:rsidR="0057529A" w:rsidRPr="00547BC2">
        <w:rPr>
          <w:rFonts w:ascii="Arial" w:hAnsi="Arial" w:cs="Arial"/>
          <w:sz w:val="20"/>
          <w:szCs w:val="20"/>
        </w:rPr>
        <w:t>improve</w:t>
      </w:r>
      <w:r w:rsidR="00083ECD" w:rsidRPr="00547BC2">
        <w:rPr>
          <w:rFonts w:ascii="Arial" w:hAnsi="Arial" w:cs="Arial"/>
          <w:sz w:val="20"/>
          <w:szCs w:val="20"/>
        </w:rPr>
        <w:t>d</w:t>
      </w:r>
      <w:r w:rsidR="00517AED" w:rsidRPr="00547BC2">
        <w:rPr>
          <w:rFonts w:ascii="Arial" w:hAnsi="Arial" w:cs="Arial"/>
          <w:sz w:val="20"/>
          <w:szCs w:val="20"/>
        </w:rPr>
        <w:t xml:space="preserve"> the schola</w:t>
      </w:r>
      <w:r w:rsidR="0057529A" w:rsidRPr="00547BC2">
        <w:rPr>
          <w:rFonts w:ascii="Arial" w:hAnsi="Arial" w:cs="Arial"/>
          <w:sz w:val="20"/>
          <w:szCs w:val="20"/>
        </w:rPr>
        <w:t>rship and financial aid award</w:t>
      </w:r>
      <w:r w:rsidR="00517AED" w:rsidRPr="00547BC2">
        <w:rPr>
          <w:rFonts w:ascii="Arial" w:hAnsi="Arial" w:cs="Arial"/>
          <w:sz w:val="20"/>
          <w:szCs w:val="20"/>
        </w:rPr>
        <w:t xml:space="preserve"> processes</w:t>
      </w:r>
      <w:r w:rsidR="00083ECD" w:rsidRPr="00547BC2">
        <w:rPr>
          <w:rFonts w:ascii="Arial" w:hAnsi="Arial" w:cs="Arial"/>
          <w:sz w:val="20"/>
          <w:szCs w:val="20"/>
        </w:rPr>
        <w:t xml:space="preserve"> by</w:t>
      </w:r>
      <w:r w:rsidR="0057529A" w:rsidRPr="00547BC2">
        <w:rPr>
          <w:rFonts w:ascii="Arial" w:hAnsi="Arial" w:cs="Arial"/>
          <w:sz w:val="20"/>
          <w:szCs w:val="20"/>
        </w:rPr>
        <w:t xml:space="preserve"> </w:t>
      </w:r>
      <w:r w:rsidR="00083ECD" w:rsidRPr="00547BC2">
        <w:rPr>
          <w:rFonts w:ascii="Arial" w:hAnsi="Arial" w:cs="Arial"/>
          <w:sz w:val="20"/>
          <w:szCs w:val="20"/>
        </w:rPr>
        <w:t>c</w:t>
      </w:r>
      <w:r w:rsidR="00517AED" w:rsidRPr="00547BC2">
        <w:rPr>
          <w:rFonts w:ascii="Arial" w:hAnsi="Arial" w:cs="Arial"/>
          <w:sz w:val="20"/>
          <w:szCs w:val="20"/>
        </w:rPr>
        <w:t>ombining the authority of both merit scholarships a</w:t>
      </w:r>
      <w:r w:rsidR="005B0C78">
        <w:rPr>
          <w:rFonts w:ascii="Arial" w:hAnsi="Arial" w:cs="Arial"/>
          <w:sz w:val="20"/>
          <w:szCs w:val="20"/>
        </w:rPr>
        <w:t>nd need-</w:t>
      </w:r>
      <w:r w:rsidR="00083ECD" w:rsidRPr="00547BC2">
        <w:rPr>
          <w:rFonts w:ascii="Arial" w:hAnsi="Arial" w:cs="Arial"/>
          <w:sz w:val="20"/>
          <w:szCs w:val="20"/>
        </w:rPr>
        <w:t>based financial aid into</w:t>
      </w:r>
      <w:r w:rsidR="00517AED" w:rsidRPr="00547BC2">
        <w:rPr>
          <w:rFonts w:ascii="Arial" w:hAnsi="Arial" w:cs="Arial"/>
          <w:sz w:val="20"/>
          <w:szCs w:val="20"/>
        </w:rPr>
        <w:t xml:space="preserve"> one </w:t>
      </w:r>
      <w:r w:rsidR="00B97ECA" w:rsidRPr="00547BC2">
        <w:rPr>
          <w:rFonts w:ascii="Arial" w:hAnsi="Arial" w:cs="Arial"/>
          <w:sz w:val="20"/>
          <w:szCs w:val="20"/>
        </w:rPr>
        <w:t>entity</w:t>
      </w:r>
      <w:r w:rsidR="00574F74" w:rsidRPr="00547BC2">
        <w:rPr>
          <w:rFonts w:ascii="Arial" w:hAnsi="Arial" w:cs="Arial"/>
          <w:sz w:val="20"/>
          <w:szCs w:val="20"/>
        </w:rPr>
        <w:t>.</w:t>
      </w:r>
      <w:r w:rsidR="00517AED" w:rsidRPr="00547BC2">
        <w:rPr>
          <w:rFonts w:ascii="Arial" w:hAnsi="Arial" w:cs="Arial"/>
          <w:sz w:val="20"/>
          <w:szCs w:val="20"/>
        </w:rPr>
        <w:t xml:space="preserve"> </w:t>
      </w:r>
      <w:r w:rsidR="00574F74" w:rsidRPr="00547BC2">
        <w:rPr>
          <w:rFonts w:ascii="Arial" w:hAnsi="Arial" w:cs="Arial"/>
          <w:sz w:val="20"/>
          <w:szCs w:val="20"/>
        </w:rPr>
        <w:t>A</w:t>
      </w:r>
      <w:r w:rsidR="00083ECD" w:rsidRPr="00547BC2">
        <w:rPr>
          <w:rFonts w:ascii="Arial" w:hAnsi="Arial" w:cs="Arial"/>
          <w:sz w:val="20"/>
          <w:szCs w:val="20"/>
        </w:rPr>
        <w:t xml:space="preserve"> new</w:t>
      </w:r>
      <w:r w:rsidR="0057529A" w:rsidRPr="00547BC2">
        <w:rPr>
          <w:rFonts w:ascii="Arial" w:hAnsi="Arial" w:cs="Arial"/>
          <w:sz w:val="20"/>
          <w:szCs w:val="20"/>
        </w:rPr>
        <w:t xml:space="preserve"> s</w:t>
      </w:r>
      <w:r w:rsidR="00517AED" w:rsidRPr="00547BC2">
        <w:rPr>
          <w:rFonts w:ascii="Arial" w:hAnsi="Arial" w:cs="Arial"/>
          <w:sz w:val="20"/>
          <w:szCs w:val="20"/>
        </w:rPr>
        <w:t>cholarship</w:t>
      </w:r>
      <w:r w:rsidR="0057529A" w:rsidRPr="00547BC2">
        <w:rPr>
          <w:rFonts w:ascii="Arial" w:hAnsi="Arial" w:cs="Arial"/>
          <w:sz w:val="20"/>
          <w:szCs w:val="20"/>
        </w:rPr>
        <w:t xml:space="preserve"> </w:t>
      </w:r>
      <w:r w:rsidR="00083ECD" w:rsidRPr="00547BC2">
        <w:rPr>
          <w:rFonts w:ascii="Arial" w:hAnsi="Arial" w:cs="Arial"/>
          <w:sz w:val="20"/>
          <w:szCs w:val="20"/>
        </w:rPr>
        <w:t xml:space="preserve">award process </w:t>
      </w:r>
      <w:r w:rsidR="00517AED" w:rsidRPr="00547BC2">
        <w:rPr>
          <w:rFonts w:ascii="Arial" w:hAnsi="Arial" w:cs="Arial"/>
          <w:sz w:val="20"/>
          <w:szCs w:val="20"/>
        </w:rPr>
        <w:t xml:space="preserve">was initiated </w:t>
      </w:r>
      <w:r w:rsidR="00266949" w:rsidRPr="00547BC2">
        <w:rPr>
          <w:rFonts w:ascii="Arial" w:hAnsi="Arial" w:cs="Arial"/>
          <w:sz w:val="20"/>
          <w:szCs w:val="20"/>
        </w:rPr>
        <w:t xml:space="preserve">in </w:t>
      </w:r>
      <w:r w:rsidR="001C5520" w:rsidRPr="00547BC2">
        <w:rPr>
          <w:rFonts w:ascii="Arial" w:hAnsi="Arial" w:cs="Arial"/>
          <w:sz w:val="20"/>
          <w:szCs w:val="20"/>
        </w:rPr>
        <w:t>S</w:t>
      </w:r>
      <w:r w:rsidR="00266949" w:rsidRPr="00547BC2">
        <w:rPr>
          <w:rFonts w:ascii="Arial" w:hAnsi="Arial" w:cs="Arial"/>
          <w:sz w:val="20"/>
          <w:szCs w:val="20"/>
        </w:rPr>
        <w:t xml:space="preserve">pring 2009 </w:t>
      </w:r>
      <w:r w:rsidR="00517AED" w:rsidRPr="00547BC2">
        <w:rPr>
          <w:rFonts w:ascii="Arial" w:hAnsi="Arial" w:cs="Arial"/>
          <w:sz w:val="20"/>
          <w:szCs w:val="20"/>
        </w:rPr>
        <w:t>to ad</w:t>
      </w:r>
      <w:r w:rsidR="00266949" w:rsidRPr="00547BC2">
        <w:rPr>
          <w:rFonts w:ascii="Arial" w:hAnsi="Arial" w:cs="Arial"/>
          <w:sz w:val="20"/>
          <w:szCs w:val="20"/>
        </w:rPr>
        <w:t>dress</w:t>
      </w:r>
      <w:r w:rsidR="0057529A" w:rsidRPr="00547BC2">
        <w:rPr>
          <w:rFonts w:ascii="Arial" w:hAnsi="Arial" w:cs="Arial"/>
          <w:sz w:val="20"/>
          <w:szCs w:val="20"/>
        </w:rPr>
        <w:t xml:space="preserve"> low levels of satisfaction</w:t>
      </w:r>
      <w:r w:rsidR="00083ECD" w:rsidRPr="00547BC2">
        <w:rPr>
          <w:rFonts w:ascii="Arial" w:hAnsi="Arial" w:cs="Arial"/>
          <w:sz w:val="20"/>
          <w:szCs w:val="20"/>
        </w:rPr>
        <w:t xml:space="preserve"> on the notice students receive</w:t>
      </w:r>
      <w:r w:rsidR="0057529A" w:rsidRPr="00547BC2">
        <w:rPr>
          <w:rFonts w:ascii="Arial" w:hAnsi="Arial" w:cs="Arial"/>
          <w:sz w:val="20"/>
          <w:szCs w:val="20"/>
        </w:rPr>
        <w:t xml:space="preserve"> in reference to applications and deadlines.  </w:t>
      </w:r>
      <w:r w:rsidR="00574F74" w:rsidRPr="00547BC2">
        <w:rPr>
          <w:rFonts w:ascii="Arial" w:hAnsi="Arial" w:cs="Arial"/>
          <w:sz w:val="20"/>
          <w:szCs w:val="20"/>
        </w:rPr>
        <w:t>Figure</w:t>
      </w:r>
      <w:r w:rsidR="00426457" w:rsidRPr="00547BC2">
        <w:rPr>
          <w:rFonts w:ascii="Arial" w:hAnsi="Arial" w:cs="Arial"/>
          <w:sz w:val="20"/>
          <w:szCs w:val="20"/>
        </w:rPr>
        <w:t xml:space="preserve"> 3.D.2</w:t>
      </w:r>
      <w:r w:rsidR="00DD002B" w:rsidRPr="00547BC2">
        <w:rPr>
          <w:rFonts w:ascii="Arial" w:hAnsi="Arial" w:cs="Arial"/>
          <w:sz w:val="20"/>
          <w:szCs w:val="20"/>
        </w:rPr>
        <w:t xml:space="preserve"> depicts prior assessment year gaps</w:t>
      </w:r>
      <w:r w:rsidR="00DD002B" w:rsidRPr="00547BC2">
        <w:rPr>
          <w:rFonts w:ascii="Arial" w:hAnsi="Arial" w:cs="Arial"/>
          <w:b/>
          <w:sz w:val="20"/>
          <w:szCs w:val="20"/>
        </w:rPr>
        <w:t xml:space="preserve"> </w:t>
      </w:r>
      <w:r w:rsidR="0057529A" w:rsidRPr="00547BC2">
        <w:rPr>
          <w:rFonts w:ascii="Arial" w:hAnsi="Arial" w:cs="Arial"/>
          <w:sz w:val="20"/>
          <w:szCs w:val="20"/>
        </w:rPr>
        <w:t xml:space="preserve">greater than one </w:t>
      </w:r>
      <w:r w:rsidR="00574F74" w:rsidRPr="00547BC2">
        <w:rPr>
          <w:rFonts w:ascii="Arial" w:hAnsi="Arial" w:cs="Arial"/>
          <w:sz w:val="20"/>
          <w:szCs w:val="20"/>
        </w:rPr>
        <w:t>that signify</w:t>
      </w:r>
      <w:r w:rsidR="0057529A" w:rsidRPr="00547BC2">
        <w:rPr>
          <w:rFonts w:ascii="Arial" w:hAnsi="Arial" w:cs="Arial"/>
          <w:sz w:val="20"/>
          <w:szCs w:val="20"/>
        </w:rPr>
        <w:t xml:space="preserve"> </w:t>
      </w:r>
      <w:r w:rsidR="00574F74" w:rsidRPr="00547BC2">
        <w:rPr>
          <w:rFonts w:ascii="Arial" w:hAnsi="Arial" w:cs="Arial"/>
          <w:sz w:val="20"/>
          <w:szCs w:val="20"/>
        </w:rPr>
        <w:t xml:space="preserve">that </w:t>
      </w:r>
      <w:r w:rsidR="0057529A" w:rsidRPr="00547BC2">
        <w:rPr>
          <w:rFonts w:ascii="Arial" w:hAnsi="Arial" w:cs="Arial"/>
          <w:sz w:val="20"/>
          <w:szCs w:val="20"/>
        </w:rPr>
        <w:t>student</w:t>
      </w:r>
      <w:r w:rsidR="00574F74" w:rsidRPr="00547BC2">
        <w:rPr>
          <w:rFonts w:ascii="Arial" w:hAnsi="Arial" w:cs="Arial"/>
          <w:sz w:val="20"/>
          <w:szCs w:val="20"/>
        </w:rPr>
        <w:t>s</w:t>
      </w:r>
      <w:r w:rsidR="0057529A" w:rsidRPr="00547BC2">
        <w:rPr>
          <w:rFonts w:ascii="Arial" w:hAnsi="Arial" w:cs="Arial"/>
          <w:sz w:val="20"/>
          <w:szCs w:val="20"/>
        </w:rPr>
        <w:t xml:space="preserve"> were not satisfied with the timing of the financial award process</w:t>
      </w:r>
      <w:r w:rsidR="00574F74" w:rsidRPr="00547BC2">
        <w:rPr>
          <w:rFonts w:ascii="Arial" w:hAnsi="Arial" w:cs="Arial"/>
          <w:sz w:val="20"/>
          <w:szCs w:val="20"/>
        </w:rPr>
        <w:t>.</w:t>
      </w:r>
      <w:r w:rsidR="00DD002B" w:rsidRPr="00547BC2">
        <w:rPr>
          <w:rFonts w:ascii="Arial" w:hAnsi="Arial" w:cs="Arial"/>
          <w:sz w:val="20"/>
          <w:szCs w:val="20"/>
        </w:rPr>
        <w:t xml:space="preserve">  T</w:t>
      </w:r>
      <w:r w:rsidR="00DD002B" w:rsidRPr="00547BC2">
        <w:rPr>
          <w:rFonts w:ascii="Arial" w:hAnsi="Arial" w:cs="Arial"/>
          <w:sz w:val="20"/>
          <w:szCs w:val="20"/>
          <w:lang w:eastAsia="en-US"/>
        </w:rPr>
        <w:t xml:space="preserve">he 2009/10 scholarship awards were made earlier than </w:t>
      </w:r>
      <w:r w:rsidR="00574F74" w:rsidRPr="00547BC2">
        <w:rPr>
          <w:rFonts w:ascii="Arial" w:hAnsi="Arial" w:cs="Arial"/>
          <w:sz w:val="20"/>
          <w:szCs w:val="20"/>
          <w:lang w:eastAsia="en-US"/>
        </w:rPr>
        <w:t xml:space="preserve">in </w:t>
      </w:r>
      <w:r w:rsidR="00DD002B" w:rsidRPr="00547BC2">
        <w:rPr>
          <w:rFonts w:ascii="Arial" w:hAnsi="Arial" w:cs="Arial"/>
          <w:sz w:val="20"/>
          <w:szCs w:val="20"/>
          <w:lang w:eastAsia="en-US"/>
        </w:rPr>
        <w:t xml:space="preserve">prior years and </w:t>
      </w:r>
      <w:r w:rsidR="00574F74" w:rsidRPr="00547BC2">
        <w:rPr>
          <w:rFonts w:ascii="Arial" w:hAnsi="Arial" w:cs="Arial"/>
          <w:sz w:val="20"/>
          <w:szCs w:val="20"/>
          <w:lang w:eastAsia="en-US"/>
        </w:rPr>
        <w:t xml:space="preserve">were </w:t>
      </w:r>
      <w:r w:rsidR="00DD002B" w:rsidRPr="00547BC2">
        <w:rPr>
          <w:rFonts w:ascii="Arial" w:hAnsi="Arial" w:cs="Arial"/>
          <w:sz w:val="20"/>
          <w:szCs w:val="20"/>
          <w:lang w:eastAsia="en-US"/>
        </w:rPr>
        <w:t>packaged with financial aid awards</w:t>
      </w:r>
      <w:r w:rsidR="00574F74" w:rsidRPr="00547BC2">
        <w:rPr>
          <w:rFonts w:ascii="Arial" w:hAnsi="Arial" w:cs="Arial"/>
          <w:sz w:val="20"/>
          <w:szCs w:val="20"/>
          <w:lang w:eastAsia="en-US"/>
        </w:rPr>
        <w:t>. Students are now informed</w:t>
      </w:r>
      <w:r w:rsidR="00DD002B" w:rsidRPr="00547BC2">
        <w:rPr>
          <w:rFonts w:ascii="Arial" w:hAnsi="Arial" w:cs="Arial"/>
          <w:sz w:val="20"/>
          <w:szCs w:val="20"/>
          <w:lang w:eastAsia="en-US"/>
        </w:rPr>
        <w:t xml:space="preserve"> of their awards before they leave school spring semester. Beginning with the 2010/2011 scholarship process, new student scholarship applications are due January 1</w:t>
      </w:r>
      <w:r w:rsidR="00DD002B" w:rsidRPr="00547BC2">
        <w:rPr>
          <w:rFonts w:ascii="Arial" w:hAnsi="Arial" w:cs="Arial"/>
          <w:sz w:val="20"/>
          <w:szCs w:val="20"/>
          <w:vertAlign w:val="superscript"/>
          <w:lang w:eastAsia="en-US"/>
        </w:rPr>
        <w:t>st</w:t>
      </w:r>
      <w:r w:rsidR="00DD002B" w:rsidRPr="00547BC2">
        <w:rPr>
          <w:rFonts w:ascii="Arial" w:hAnsi="Arial" w:cs="Arial"/>
          <w:sz w:val="20"/>
          <w:szCs w:val="20"/>
          <w:lang w:eastAsia="en-US"/>
        </w:rPr>
        <w:t xml:space="preserve"> and returning student applications are due by February 1</w:t>
      </w:r>
      <w:r w:rsidR="00DD002B" w:rsidRPr="00547BC2">
        <w:rPr>
          <w:rFonts w:ascii="Arial" w:hAnsi="Arial" w:cs="Arial"/>
          <w:sz w:val="20"/>
          <w:szCs w:val="20"/>
          <w:vertAlign w:val="superscript"/>
          <w:lang w:eastAsia="en-US"/>
        </w:rPr>
        <w:t>st</w:t>
      </w:r>
      <w:r w:rsidR="00574F74" w:rsidRPr="00547BC2">
        <w:rPr>
          <w:rFonts w:ascii="Arial" w:hAnsi="Arial" w:cs="Arial"/>
          <w:sz w:val="20"/>
          <w:szCs w:val="20"/>
          <w:lang w:eastAsia="en-US"/>
        </w:rPr>
        <w:t>.</w:t>
      </w:r>
      <w:r w:rsidR="00DD002B" w:rsidRPr="00547BC2">
        <w:rPr>
          <w:rFonts w:ascii="Arial" w:hAnsi="Arial" w:cs="Arial"/>
          <w:sz w:val="20"/>
          <w:szCs w:val="20"/>
          <w:lang w:eastAsia="en-US"/>
        </w:rPr>
        <w:t xml:space="preserve">  This </w:t>
      </w:r>
      <w:r w:rsidR="00574F74" w:rsidRPr="00547BC2">
        <w:rPr>
          <w:rFonts w:ascii="Arial" w:hAnsi="Arial" w:cs="Arial"/>
          <w:sz w:val="20"/>
          <w:szCs w:val="20"/>
          <w:lang w:eastAsia="en-US"/>
        </w:rPr>
        <w:t xml:space="preserve">change </w:t>
      </w:r>
      <w:r w:rsidR="00DD002B" w:rsidRPr="00547BC2">
        <w:rPr>
          <w:rFonts w:ascii="Arial" w:hAnsi="Arial" w:cs="Arial"/>
          <w:sz w:val="20"/>
          <w:szCs w:val="20"/>
          <w:lang w:eastAsia="en-US"/>
        </w:rPr>
        <w:t xml:space="preserve">will help with college planning for students and parents. </w:t>
      </w:r>
      <w:r w:rsidR="00516B4F">
        <w:rPr>
          <w:rFonts w:ascii="Arial" w:hAnsi="Arial" w:cs="Arial"/>
          <w:sz w:val="20"/>
          <w:szCs w:val="20"/>
          <w:lang w:eastAsia="en-US"/>
        </w:rPr>
        <w:t>(</w:t>
      </w:r>
      <w:r w:rsidR="00574F74" w:rsidRPr="00547BC2">
        <w:rPr>
          <w:rFonts w:ascii="Arial" w:hAnsi="Arial" w:cs="Arial"/>
          <w:sz w:val="20"/>
          <w:szCs w:val="20"/>
          <w:lang w:eastAsia="en-US"/>
        </w:rPr>
        <w:t xml:space="preserve">See Exhibit </w:t>
      </w:r>
      <w:r w:rsidR="00177239" w:rsidRPr="005C7BCF">
        <w:rPr>
          <w:rFonts w:ascii="Arial" w:hAnsi="Arial" w:cs="Arial"/>
          <w:sz w:val="20"/>
          <w:szCs w:val="20"/>
        </w:rPr>
        <w:t>3.</w:t>
      </w:r>
      <w:r w:rsidR="006B0997" w:rsidRPr="005C7BCF">
        <w:rPr>
          <w:rFonts w:ascii="Arial" w:hAnsi="Arial" w:cs="Arial"/>
          <w:sz w:val="20"/>
          <w:szCs w:val="20"/>
        </w:rPr>
        <w:t>D.I</w:t>
      </w:r>
      <w:r w:rsidR="00426457" w:rsidRPr="005C7BCF">
        <w:rPr>
          <w:rFonts w:ascii="Arial" w:hAnsi="Arial" w:cs="Arial"/>
          <w:sz w:val="20"/>
          <w:szCs w:val="20"/>
        </w:rPr>
        <w:t>V</w:t>
      </w:r>
      <w:r w:rsidR="00574F74" w:rsidRPr="005C7BCF">
        <w:rPr>
          <w:rFonts w:ascii="Arial" w:hAnsi="Arial" w:cs="Arial"/>
          <w:sz w:val="20"/>
          <w:szCs w:val="20"/>
        </w:rPr>
        <w:t>:</w:t>
      </w:r>
      <w:r w:rsidR="00341DF2" w:rsidRPr="005C7BCF">
        <w:rPr>
          <w:rFonts w:ascii="Arial" w:hAnsi="Arial" w:cs="Arial"/>
          <w:i/>
          <w:sz w:val="20"/>
          <w:szCs w:val="20"/>
        </w:rPr>
        <w:t xml:space="preserve"> </w:t>
      </w:r>
      <w:hyperlink r:id="rId53" w:history="1">
        <w:r w:rsidR="00341DF2" w:rsidRPr="005C7BCF">
          <w:rPr>
            <w:rStyle w:val="Hyperlink"/>
            <w:rFonts w:ascii="Arial" w:hAnsi="Arial" w:cs="Arial"/>
            <w:i/>
            <w:sz w:val="20"/>
            <w:szCs w:val="20"/>
          </w:rPr>
          <w:t xml:space="preserve">2008/2009 </w:t>
        </w:r>
        <w:r w:rsidR="008C5735" w:rsidRPr="005C7BCF">
          <w:rPr>
            <w:rStyle w:val="Hyperlink"/>
            <w:rFonts w:ascii="Arial" w:hAnsi="Arial" w:cs="Arial"/>
            <w:i/>
            <w:sz w:val="20"/>
            <w:szCs w:val="20"/>
          </w:rPr>
          <w:t xml:space="preserve">SEM </w:t>
        </w:r>
        <w:r w:rsidR="00341DF2" w:rsidRPr="005C7BCF">
          <w:rPr>
            <w:rStyle w:val="Hyperlink"/>
            <w:rFonts w:ascii="Arial" w:hAnsi="Arial" w:cs="Arial"/>
            <w:i/>
            <w:sz w:val="20"/>
            <w:szCs w:val="20"/>
          </w:rPr>
          <w:t>Scholarship Proposal</w:t>
        </w:r>
      </w:hyperlink>
      <w:r w:rsidR="00516B4F">
        <w:t>)</w:t>
      </w:r>
      <w:r w:rsidR="00574F74" w:rsidRPr="00547BC2">
        <w:rPr>
          <w:i/>
          <w:sz w:val="20"/>
          <w:szCs w:val="20"/>
        </w:rPr>
        <w:t>.</w:t>
      </w:r>
    </w:p>
    <w:p w:rsidR="00547BC2" w:rsidRDefault="00547BC2" w:rsidP="001B4D6A">
      <w:pPr>
        <w:rPr>
          <w:i/>
          <w:sz w:val="20"/>
          <w:szCs w:val="20"/>
        </w:rPr>
      </w:pPr>
    </w:p>
    <w:p w:rsidR="00547BC2" w:rsidRPr="00547BC2" w:rsidRDefault="00547BC2" w:rsidP="001B4D6A">
      <w:pPr>
        <w:rPr>
          <w:rFonts w:ascii="Arial" w:hAnsi="Arial" w:cs="Arial"/>
          <w:sz w:val="20"/>
          <w:szCs w:val="20"/>
        </w:rPr>
        <w:sectPr w:rsidR="00547BC2" w:rsidRPr="00547BC2" w:rsidSect="00B3315C">
          <w:type w:val="continuous"/>
          <w:pgSz w:w="12240" w:h="15840"/>
          <w:pgMar w:top="1440" w:right="1440" w:bottom="1440" w:left="1440" w:header="720" w:footer="720" w:gutter="0"/>
          <w:cols w:space="720"/>
          <w:docGrid w:linePitch="360"/>
        </w:sectPr>
      </w:pPr>
    </w:p>
    <w:p w:rsidR="008D1ABF" w:rsidRPr="00162E50" w:rsidRDefault="002F52DD" w:rsidP="001B4D6A">
      <w:pPr>
        <w:jc w:val="center"/>
        <w:rPr>
          <w:rFonts w:ascii="Arial" w:hAnsi="Arial" w:cs="Arial"/>
          <w:b/>
          <w:noProof/>
          <w:sz w:val="22"/>
          <w:szCs w:val="22"/>
          <w:lang w:eastAsia="en-US"/>
        </w:rPr>
      </w:pPr>
      <w:r w:rsidRPr="002F52DD">
        <w:rPr>
          <w:noProof/>
          <w:szCs w:val="22"/>
          <w:lang w:eastAsia="en-US"/>
        </w:rPr>
        <w:lastRenderedPageBreak/>
        <w:drawing>
          <wp:inline distT="0" distB="0" distL="0" distR="0">
            <wp:extent cx="4687910" cy="3200400"/>
            <wp:effectExtent l="1905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cstate="print"/>
                    <a:srcRect/>
                    <a:stretch>
                      <a:fillRect/>
                    </a:stretch>
                  </pic:blipFill>
                  <pic:spPr bwMode="auto">
                    <a:xfrm>
                      <a:off x="0" y="0"/>
                      <a:ext cx="4687910" cy="3200400"/>
                    </a:xfrm>
                    <a:prstGeom prst="rect">
                      <a:avLst/>
                    </a:prstGeom>
                    <a:solidFill>
                      <a:schemeClr val="bg1"/>
                    </a:solidFill>
                    <a:ln w="9525">
                      <a:noFill/>
                      <a:miter lim="800000"/>
                      <a:headEnd/>
                      <a:tailEnd/>
                    </a:ln>
                  </pic:spPr>
                </pic:pic>
              </a:graphicData>
            </a:graphic>
          </wp:inline>
        </w:drawing>
      </w:r>
    </w:p>
    <w:p w:rsidR="00574F74" w:rsidRPr="00266949" w:rsidRDefault="00574F74" w:rsidP="001B4D6A">
      <w:pPr>
        <w:jc w:val="center"/>
        <w:rPr>
          <w:rFonts w:ascii="Arial" w:hAnsi="Arial" w:cs="Arial"/>
          <w:b/>
          <w:noProof/>
          <w:sz w:val="22"/>
          <w:szCs w:val="22"/>
          <w:lang w:eastAsia="en-US"/>
        </w:rPr>
      </w:pPr>
      <w:r>
        <w:rPr>
          <w:rFonts w:ascii="Arial" w:hAnsi="Arial" w:cs="Arial"/>
          <w:b/>
          <w:noProof/>
          <w:sz w:val="22"/>
          <w:szCs w:val="22"/>
          <w:lang w:eastAsia="en-US"/>
        </w:rPr>
        <w:t xml:space="preserve">Figure </w:t>
      </w:r>
      <w:r w:rsidR="00426457">
        <w:rPr>
          <w:rFonts w:ascii="Arial" w:hAnsi="Arial" w:cs="Arial"/>
          <w:b/>
          <w:noProof/>
          <w:sz w:val="22"/>
          <w:szCs w:val="22"/>
          <w:lang w:eastAsia="en-US"/>
        </w:rPr>
        <w:t xml:space="preserve"> 3.D.2</w:t>
      </w:r>
      <w:r>
        <w:rPr>
          <w:rFonts w:ascii="Arial" w:hAnsi="Arial" w:cs="Arial"/>
          <w:b/>
          <w:noProof/>
          <w:sz w:val="22"/>
          <w:szCs w:val="22"/>
          <w:lang w:eastAsia="en-US"/>
        </w:rPr>
        <w:t>: Financial Aid Award Notification</w:t>
      </w:r>
    </w:p>
    <w:p w:rsidR="00574F74" w:rsidRDefault="00574F74" w:rsidP="001B4D6A">
      <w:pPr>
        <w:rPr>
          <w:rFonts w:ascii="Arial" w:hAnsi="Arial" w:cs="Arial"/>
          <w:sz w:val="22"/>
          <w:szCs w:val="22"/>
        </w:rPr>
      </w:pPr>
    </w:p>
    <w:p w:rsidR="0094598F" w:rsidRDefault="0094598F" w:rsidP="001B4D6A">
      <w:pPr>
        <w:rPr>
          <w:rFonts w:ascii="Arial" w:hAnsi="Arial" w:cs="Arial"/>
          <w:sz w:val="22"/>
          <w:szCs w:val="22"/>
        </w:rPr>
      </w:pPr>
    </w:p>
    <w:p w:rsidR="00D45661" w:rsidRDefault="00D45661" w:rsidP="001B4D6A">
      <w:pPr>
        <w:rPr>
          <w:rFonts w:ascii="Arial" w:hAnsi="Arial" w:cs="Arial"/>
          <w:b/>
          <w:noProof/>
          <w:sz w:val="22"/>
          <w:szCs w:val="22"/>
          <w:lang w:eastAsia="en-US"/>
        </w:rPr>
      </w:pPr>
      <w:r w:rsidRPr="006B0997">
        <w:rPr>
          <w:rFonts w:ascii="Arial" w:hAnsi="Arial" w:cs="Arial"/>
          <w:sz w:val="22"/>
          <w:szCs w:val="22"/>
        </w:rPr>
        <w:t>The STARS online scholarship application was implemented for returning students 2009/10</w:t>
      </w:r>
      <w:r w:rsidR="00A138FE" w:rsidRPr="006B0997">
        <w:rPr>
          <w:rFonts w:ascii="Arial" w:hAnsi="Arial" w:cs="Arial"/>
          <w:sz w:val="22"/>
          <w:szCs w:val="22"/>
        </w:rPr>
        <w:t xml:space="preserve"> and </w:t>
      </w:r>
      <w:r w:rsidR="003B1FD6" w:rsidRPr="006B0997">
        <w:rPr>
          <w:rFonts w:ascii="Arial" w:hAnsi="Arial" w:cs="Arial"/>
          <w:sz w:val="22"/>
          <w:szCs w:val="22"/>
        </w:rPr>
        <w:t xml:space="preserve">for </w:t>
      </w:r>
      <w:r w:rsidR="00A138FE" w:rsidRPr="006B0997">
        <w:rPr>
          <w:rFonts w:ascii="Arial" w:hAnsi="Arial" w:cs="Arial"/>
          <w:sz w:val="22"/>
          <w:szCs w:val="22"/>
        </w:rPr>
        <w:t>new students in the spring of 2010</w:t>
      </w:r>
      <w:r w:rsidRPr="006B0997">
        <w:rPr>
          <w:rFonts w:ascii="Arial" w:hAnsi="Arial" w:cs="Arial"/>
          <w:sz w:val="22"/>
          <w:szCs w:val="22"/>
        </w:rPr>
        <w:t>. STARS</w:t>
      </w:r>
      <w:r w:rsidRPr="00D45661">
        <w:rPr>
          <w:rFonts w:ascii="Arial" w:hAnsi="Arial" w:cs="Arial"/>
          <w:sz w:val="22"/>
          <w:szCs w:val="22"/>
        </w:rPr>
        <w:t xml:space="preserve"> walks students through the </w:t>
      </w:r>
      <w:r w:rsidR="003B1FD6">
        <w:rPr>
          <w:rFonts w:ascii="Arial" w:hAnsi="Arial" w:cs="Arial"/>
          <w:sz w:val="22"/>
          <w:szCs w:val="22"/>
        </w:rPr>
        <w:t xml:space="preserve">online </w:t>
      </w:r>
      <w:r w:rsidRPr="00D45661">
        <w:rPr>
          <w:rFonts w:ascii="Arial" w:hAnsi="Arial" w:cs="Arial"/>
          <w:sz w:val="22"/>
          <w:szCs w:val="22"/>
        </w:rPr>
        <w:t>scholarship a</w:t>
      </w:r>
      <w:r w:rsidR="003B1FD6">
        <w:rPr>
          <w:rFonts w:ascii="Arial" w:hAnsi="Arial" w:cs="Arial"/>
          <w:sz w:val="22"/>
          <w:szCs w:val="22"/>
        </w:rPr>
        <w:t>pplication process with an easy-</w:t>
      </w:r>
      <w:r w:rsidRPr="00D45661">
        <w:rPr>
          <w:rFonts w:ascii="Arial" w:hAnsi="Arial" w:cs="Arial"/>
          <w:sz w:val="22"/>
          <w:szCs w:val="22"/>
        </w:rPr>
        <w:t>to</w:t>
      </w:r>
      <w:r w:rsidR="003B1FD6">
        <w:rPr>
          <w:rFonts w:ascii="Arial" w:hAnsi="Arial" w:cs="Arial"/>
          <w:sz w:val="22"/>
          <w:szCs w:val="22"/>
        </w:rPr>
        <w:t>-</w:t>
      </w:r>
      <w:r w:rsidRPr="00D45661">
        <w:rPr>
          <w:rFonts w:ascii="Arial" w:hAnsi="Arial" w:cs="Arial"/>
          <w:sz w:val="22"/>
          <w:szCs w:val="22"/>
        </w:rPr>
        <w:t xml:space="preserve">follow scholarship application without completing the hardcopy </w:t>
      </w:r>
      <w:r w:rsidR="00930FC0">
        <w:rPr>
          <w:rFonts w:ascii="Arial" w:hAnsi="Arial" w:cs="Arial"/>
          <w:sz w:val="22"/>
          <w:szCs w:val="22"/>
        </w:rPr>
        <w:t>forms</w:t>
      </w:r>
      <w:r w:rsidRPr="00D45661">
        <w:rPr>
          <w:rFonts w:ascii="Arial" w:hAnsi="Arial" w:cs="Arial"/>
          <w:sz w:val="22"/>
          <w:szCs w:val="22"/>
        </w:rPr>
        <w:t>. In just mi</w:t>
      </w:r>
      <w:r w:rsidR="003B1FD6">
        <w:rPr>
          <w:rFonts w:ascii="Arial" w:hAnsi="Arial" w:cs="Arial"/>
          <w:sz w:val="22"/>
          <w:szCs w:val="22"/>
        </w:rPr>
        <w:t>nutes a student can submit a</w:t>
      </w:r>
      <w:r w:rsidRPr="00D45661">
        <w:rPr>
          <w:rFonts w:ascii="Arial" w:hAnsi="Arial" w:cs="Arial"/>
          <w:sz w:val="22"/>
          <w:szCs w:val="22"/>
        </w:rPr>
        <w:t xml:space="preserve"> scholarship application and receive a customized list of scholarships</w:t>
      </w:r>
      <w:r w:rsidR="00930FC0">
        <w:rPr>
          <w:rFonts w:ascii="Arial" w:hAnsi="Arial" w:cs="Arial"/>
          <w:sz w:val="22"/>
          <w:szCs w:val="22"/>
        </w:rPr>
        <w:t>.</w:t>
      </w:r>
      <w:r w:rsidRPr="00D45661">
        <w:rPr>
          <w:rFonts w:ascii="Arial" w:hAnsi="Arial" w:cs="Arial"/>
          <w:sz w:val="22"/>
          <w:szCs w:val="22"/>
        </w:rPr>
        <w:t xml:space="preserve"> </w:t>
      </w:r>
      <w:r w:rsidR="006B0997" w:rsidRPr="00D45661">
        <w:rPr>
          <w:rFonts w:ascii="Arial" w:hAnsi="Arial" w:cs="Arial"/>
          <w:sz w:val="22"/>
          <w:szCs w:val="22"/>
        </w:rPr>
        <w:t>STARS enable</w:t>
      </w:r>
      <w:r w:rsidR="00F50EEC">
        <w:rPr>
          <w:rFonts w:ascii="Arial" w:hAnsi="Arial" w:cs="Arial"/>
          <w:sz w:val="22"/>
          <w:szCs w:val="22"/>
        </w:rPr>
        <w:t>s</w:t>
      </w:r>
      <w:r w:rsidR="003B1FD6">
        <w:rPr>
          <w:rFonts w:ascii="Arial" w:hAnsi="Arial" w:cs="Arial"/>
          <w:sz w:val="22"/>
          <w:szCs w:val="22"/>
        </w:rPr>
        <w:t xml:space="preserve"> </w:t>
      </w:r>
      <w:r w:rsidRPr="00D45661">
        <w:rPr>
          <w:rFonts w:ascii="Arial" w:hAnsi="Arial" w:cs="Arial"/>
          <w:sz w:val="22"/>
          <w:szCs w:val="22"/>
        </w:rPr>
        <w:t>students to find,</w:t>
      </w:r>
      <w:r w:rsidR="00930FC0">
        <w:rPr>
          <w:rFonts w:ascii="Arial" w:hAnsi="Arial" w:cs="Arial"/>
          <w:sz w:val="22"/>
          <w:szCs w:val="22"/>
        </w:rPr>
        <w:t xml:space="preserve"> review, and apply for several</w:t>
      </w:r>
      <w:r w:rsidR="00C92393">
        <w:rPr>
          <w:rFonts w:ascii="Arial" w:hAnsi="Arial" w:cs="Arial"/>
          <w:sz w:val="22"/>
          <w:szCs w:val="22"/>
        </w:rPr>
        <w:t xml:space="preserve"> qualified scholarships with</w:t>
      </w:r>
      <w:r w:rsidRPr="00D45661">
        <w:rPr>
          <w:rFonts w:ascii="Arial" w:hAnsi="Arial" w:cs="Arial"/>
          <w:sz w:val="22"/>
          <w:szCs w:val="22"/>
        </w:rPr>
        <w:t xml:space="preserve"> </w:t>
      </w:r>
      <w:r w:rsidR="00930FC0">
        <w:rPr>
          <w:rFonts w:ascii="Arial" w:hAnsi="Arial" w:cs="Arial"/>
          <w:sz w:val="22"/>
          <w:szCs w:val="22"/>
        </w:rPr>
        <w:t xml:space="preserve">just a few clicks. </w:t>
      </w:r>
      <w:r w:rsidR="003B1FD6">
        <w:rPr>
          <w:rFonts w:ascii="Arial" w:hAnsi="Arial" w:cs="Arial"/>
          <w:sz w:val="22"/>
          <w:szCs w:val="22"/>
        </w:rPr>
        <w:t>Moreover, s</w:t>
      </w:r>
      <w:r w:rsidR="00930FC0">
        <w:rPr>
          <w:rFonts w:ascii="Arial" w:hAnsi="Arial" w:cs="Arial"/>
          <w:sz w:val="22"/>
          <w:szCs w:val="22"/>
        </w:rPr>
        <w:t>cholarship a</w:t>
      </w:r>
      <w:r w:rsidRPr="00D45661">
        <w:rPr>
          <w:rFonts w:ascii="Arial" w:hAnsi="Arial" w:cs="Arial"/>
          <w:sz w:val="22"/>
          <w:szCs w:val="22"/>
        </w:rPr>
        <w:t>dministrators can en</w:t>
      </w:r>
      <w:r w:rsidR="00930FC0">
        <w:rPr>
          <w:rFonts w:ascii="Arial" w:hAnsi="Arial" w:cs="Arial"/>
          <w:sz w:val="22"/>
          <w:szCs w:val="22"/>
        </w:rPr>
        <w:t>ter new scholarships, manage, award</w:t>
      </w:r>
      <w:r w:rsidRPr="00D45661">
        <w:rPr>
          <w:rFonts w:ascii="Arial" w:hAnsi="Arial" w:cs="Arial"/>
          <w:sz w:val="22"/>
          <w:szCs w:val="22"/>
        </w:rPr>
        <w:t xml:space="preserve">, </w:t>
      </w:r>
      <w:r w:rsidR="00930FC0">
        <w:rPr>
          <w:rFonts w:ascii="Arial" w:hAnsi="Arial" w:cs="Arial"/>
          <w:sz w:val="22"/>
          <w:szCs w:val="22"/>
        </w:rPr>
        <w:t xml:space="preserve">and </w:t>
      </w:r>
      <w:r w:rsidRPr="00D45661">
        <w:rPr>
          <w:rFonts w:ascii="Arial" w:hAnsi="Arial" w:cs="Arial"/>
          <w:sz w:val="22"/>
          <w:szCs w:val="22"/>
        </w:rPr>
        <w:t xml:space="preserve">review scholarship applications. </w:t>
      </w:r>
      <w:r w:rsidR="003B1FD6">
        <w:rPr>
          <w:rFonts w:ascii="Arial" w:hAnsi="Arial" w:cs="Arial"/>
          <w:sz w:val="22"/>
          <w:szCs w:val="22"/>
        </w:rPr>
        <w:t>Thus, a</w:t>
      </w:r>
      <w:r w:rsidRPr="00D45661">
        <w:rPr>
          <w:rFonts w:ascii="Arial" w:hAnsi="Arial" w:cs="Arial"/>
          <w:sz w:val="22"/>
          <w:szCs w:val="22"/>
        </w:rPr>
        <w:t>dministrators can drill down into every aspect of an application online and gen</w:t>
      </w:r>
      <w:r w:rsidR="00930FC0">
        <w:rPr>
          <w:rFonts w:ascii="Arial" w:hAnsi="Arial" w:cs="Arial"/>
          <w:sz w:val="22"/>
          <w:szCs w:val="22"/>
        </w:rPr>
        <w:t>erate detailed reports that assist with the award process.</w:t>
      </w:r>
    </w:p>
    <w:p w:rsidR="00D45661" w:rsidRDefault="00D45661" w:rsidP="001B4D6A">
      <w:pPr>
        <w:rPr>
          <w:rFonts w:ascii="Arial" w:hAnsi="Arial" w:cs="Arial"/>
          <w:b/>
          <w:sz w:val="22"/>
          <w:szCs w:val="22"/>
        </w:rPr>
      </w:pPr>
    </w:p>
    <w:p w:rsidR="004D2808" w:rsidRPr="004D2808" w:rsidRDefault="009A392B" w:rsidP="001B4D6A">
      <w:pPr>
        <w:rPr>
          <w:rFonts w:ascii="Arial" w:hAnsi="Arial" w:cs="Arial"/>
          <w:b/>
          <w:sz w:val="22"/>
          <w:szCs w:val="22"/>
        </w:rPr>
      </w:pPr>
      <w:r>
        <w:rPr>
          <w:rFonts w:ascii="Arial" w:hAnsi="Arial" w:cs="Arial"/>
          <w:b/>
          <w:sz w:val="22"/>
          <w:szCs w:val="22"/>
        </w:rPr>
        <w:t>3.D.8</w:t>
      </w:r>
      <w:r>
        <w:rPr>
          <w:rFonts w:ascii="Arial" w:hAnsi="Arial" w:cs="Arial"/>
          <w:b/>
          <w:sz w:val="22"/>
          <w:szCs w:val="22"/>
        </w:rPr>
        <w:tab/>
      </w:r>
      <w:r w:rsidR="004D2808" w:rsidRPr="004D2808">
        <w:rPr>
          <w:rFonts w:ascii="Arial" w:hAnsi="Arial" w:cs="Arial"/>
          <w:b/>
          <w:sz w:val="22"/>
          <w:szCs w:val="22"/>
        </w:rPr>
        <w:t>The institution regularly monitors its student loan programs and the institutional loan default rate. Informational sessions which give attention to loan repayment obligations are conducted for financial aid recipients.</w:t>
      </w:r>
    </w:p>
    <w:p w:rsidR="004B01FD" w:rsidRDefault="004B01FD" w:rsidP="001B4D6A">
      <w:pPr>
        <w:rPr>
          <w:rFonts w:ascii="Arial" w:hAnsi="Arial" w:cs="Arial"/>
          <w:sz w:val="22"/>
          <w:szCs w:val="22"/>
        </w:rPr>
      </w:pPr>
    </w:p>
    <w:p w:rsidR="00516B4F" w:rsidRPr="00C74C86" w:rsidRDefault="004B01FD" w:rsidP="001B4D6A">
      <w:pPr>
        <w:rPr>
          <w:rFonts w:ascii="Arial" w:hAnsi="Arial" w:cs="Arial"/>
          <w:sz w:val="22"/>
          <w:szCs w:val="22"/>
        </w:rPr>
      </w:pPr>
      <w:r>
        <w:rPr>
          <w:rFonts w:ascii="Arial" w:hAnsi="Arial" w:cs="Arial"/>
          <w:sz w:val="22"/>
          <w:szCs w:val="22"/>
        </w:rPr>
        <w:t xml:space="preserve">Montana Tech’s </w:t>
      </w:r>
      <w:r w:rsidRPr="008B0519">
        <w:rPr>
          <w:rFonts w:ascii="Arial" w:hAnsi="Arial" w:cs="Arial"/>
          <w:sz w:val="22"/>
          <w:szCs w:val="22"/>
        </w:rPr>
        <w:t xml:space="preserve">Director </w:t>
      </w:r>
      <w:r w:rsidRPr="009A25F4">
        <w:rPr>
          <w:rFonts w:ascii="Arial" w:hAnsi="Arial" w:cs="Arial"/>
          <w:sz w:val="22"/>
          <w:szCs w:val="22"/>
        </w:rPr>
        <w:t>of Enr</w:t>
      </w:r>
      <w:r w:rsidR="001C5520" w:rsidRPr="009A25F4">
        <w:rPr>
          <w:rFonts w:ascii="Arial" w:hAnsi="Arial" w:cs="Arial"/>
          <w:sz w:val="22"/>
          <w:szCs w:val="22"/>
        </w:rPr>
        <w:t>ollment</w:t>
      </w:r>
      <w:r w:rsidR="001C5520">
        <w:rPr>
          <w:rFonts w:ascii="Arial" w:hAnsi="Arial" w:cs="Arial"/>
          <w:sz w:val="22"/>
          <w:szCs w:val="22"/>
        </w:rPr>
        <w:t xml:space="preserve"> Processing</w:t>
      </w:r>
      <w:r w:rsidRPr="008B0519">
        <w:rPr>
          <w:rFonts w:ascii="Arial" w:hAnsi="Arial" w:cs="Arial"/>
          <w:sz w:val="22"/>
          <w:szCs w:val="22"/>
        </w:rPr>
        <w:t xml:space="preserve"> </w:t>
      </w:r>
      <w:r w:rsidRPr="003B1FD6">
        <w:rPr>
          <w:rFonts w:ascii="Arial" w:hAnsi="Arial" w:cs="Arial"/>
          <w:sz w:val="22"/>
          <w:szCs w:val="22"/>
        </w:rPr>
        <w:t>receives annually the Cohort Default Rate from the U</w:t>
      </w:r>
      <w:r w:rsidR="003C1427">
        <w:rPr>
          <w:rFonts w:ascii="Arial" w:hAnsi="Arial" w:cs="Arial"/>
          <w:sz w:val="22"/>
          <w:szCs w:val="22"/>
        </w:rPr>
        <w:t>.</w:t>
      </w:r>
      <w:r w:rsidRPr="003B1FD6">
        <w:rPr>
          <w:rFonts w:ascii="Arial" w:hAnsi="Arial" w:cs="Arial"/>
          <w:sz w:val="22"/>
          <w:szCs w:val="22"/>
        </w:rPr>
        <w:t>S</w:t>
      </w:r>
      <w:r w:rsidR="003C1427">
        <w:rPr>
          <w:rFonts w:ascii="Arial" w:hAnsi="Arial" w:cs="Arial"/>
          <w:sz w:val="22"/>
          <w:szCs w:val="22"/>
        </w:rPr>
        <w:t>.</w:t>
      </w:r>
      <w:r w:rsidRPr="003B1FD6">
        <w:rPr>
          <w:rFonts w:ascii="Arial" w:hAnsi="Arial" w:cs="Arial"/>
          <w:sz w:val="22"/>
          <w:szCs w:val="22"/>
        </w:rPr>
        <w:t xml:space="preserve"> Department of Education. Montana Tech’s prior year </w:t>
      </w:r>
      <w:r w:rsidR="00051F98" w:rsidRPr="003B1FD6">
        <w:rPr>
          <w:rFonts w:ascii="Arial" w:hAnsi="Arial" w:cs="Arial"/>
          <w:sz w:val="22"/>
          <w:szCs w:val="22"/>
        </w:rPr>
        <w:t xml:space="preserve">and National </w:t>
      </w:r>
      <w:r w:rsidRPr="003B1FD6">
        <w:rPr>
          <w:rFonts w:ascii="Arial" w:hAnsi="Arial" w:cs="Arial"/>
          <w:sz w:val="22"/>
          <w:szCs w:val="22"/>
        </w:rPr>
        <w:t xml:space="preserve">default rates are depicted </w:t>
      </w:r>
      <w:r w:rsidR="003B1FD6" w:rsidRPr="003B1FD6">
        <w:rPr>
          <w:rFonts w:ascii="Arial" w:hAnsi="Arial" w:cs="Arial"/>
          <w:sz w:val="22"/>
          <w:szCs w:val="22"/>
        </w:rPr>
        <w:t>below in Figure</w:t>
      </w:r>
      <w:r w:rsidR="00426457">
        <w:rPr>
          <w:rFonts w:ascii="Arial" w:hAnsi="Arial" w:cs="Arial"/>
          <w:sz w:val="22"/>
          <w:szCs w:val="22"/>
        </w:rPr>
        <w:t xml:space="preserve"> 3.D.3</w:t>
      </w:r>
      <w:r w:rsidRPr="003B1FD6">
        <w:rPr>
          <w:rFonts w:ascii="Arial" w:hAnsi="Arial" w:cs="Arial"/>
          <w:sz w:val="22"/>
          <w:szCs w:val="22"/>
        </w:rPr>
        <w:t>.</w:t>
      </w:r>
      <w:r w:rsidR="00051F98" w:rsidRPr="009A25F4">
        <w:rPr>
          <w:rFonts w:ascii="Arial" w:hAnsi="Arial" w:cs="Arial"/>
          <w:color w:val="0033CC"/>
          <w:sz w:val="22"/>
          <w:szCs w:val="22"/>
        </w:rPr>
        <w:t xml:space="preserve"> </w:t>
      </w:r>
      <w:r w:rsidR="00547BC2" w:rsidRPr="00C74C86">
        <w:rPr>
          <w:rFonts w:ascii="Arial" w:hAnsi="Arial" w:cs="Arial"/>
          <w:sz w:val="22"/>
          <w:szCs w:val="22"/>
        </w:rPr>
        <w:t xml:space="preserve">Initially Stafford default rates were high because Tech did not provide ample financial literacy to students through entrance and exit counseling sessions. Many borrowers </w:t>
      </w:r>
      <w:r w:rsidR="005807F9" w:rsidRPr="00C74C86">
        <w:rPr>
          <w:rFonts w:ascii="Arial" w:hAnsi="Arial" w:cs="Arial"/>
          <w:sz w:val="22"/>
          <w:szCs w:val="22"/>
        </w:rPr>
        <w:t xml:space="preserve">that </w:t>
      </w:r>
      <w:r w:rsidR="00547BC2" w:rsidRPr="00C74C86">
        <w:rPr>
          <w:rFonts w:ascii="Arial" w:hAnsi="Arial" w:cs="Arial"/>
          <w:sz w:val="22"/>
          <w:szCs w:val="22"/>
        </w:rPr>
        <w:t xml:space="preserve">defaulted on </w:t>
      </w:r>
      <w:r w:rsidR="005807F9" w:rsidRPr="00C74C86">
        <w:rPr>
          <w:rFonts w:ascii="Arial" w:hAnsi="Arial" w:cs="Arial"/>
          <w:sz w:val="22"/>
          <w:szCs w:val="22"/>
        </w:rPr>
        <w:t>loans</w:t>
      </w:r>
      <w:r w:rsidR="00547BC2" w:rsidRPr="00C74C86">
        <w:rPr>
          <w:rFonts w:ascii="Arial" w:hAnsi="Arial" w:cs="Arial"/>
          <w:sz w:val="22"/>
          <w:szCs w:val="22"/>
        </w:rPr>
        <w:t xml:space="preserve"> withdrew from Tech prior to completing their academic program, including many first semester students. Tech’s </w:t>
      </w:r>
      <w:r w:rsidR="005807F9" w:rsidRPr="00C74C86">
        <w:rPr>
          <w:rFonts w:ascii="Arial" w:hAnsi="Arial" w:cs="Arial"/>
          <w:sz w:val="22"/>
          <w:szCs w:val="22"/>
        </w:rPr>
        <w:t>Retention Committee identified At-R</w:t>
      </w:r>
      <w:r w:rsidR="005B0C78" w:rsidRPr="00C74C86">
        <w:rPr>
          <w:rFonts w:ascii="Arial" w:hAnsi="Arial" w:cs="Arial"/>
          <w:sz w:val="22"/>
          <w:szCs w:val="22"/>
        </w:rPr>
        <w:t>isk students at mid-</w:t>
      </w:r>
      <w:r w:rsidR="00547BC2" w:rsidRPr="00C74C86">
        <w:rPr>
          <w:rFonts w:ascii="Arial" w:hAnsi="Arial" w:cs="Arial"/>
          <w:sz w:val="22"/>
          <w:szCs w:val="22"/>
        </w:rPr>
        <w:t>te</w:t>
      </w:r>
      <w:r w:rsidR="00516B4F" w:rsidRPr="00C74C86">
        <w:rPr>
          <w:rFonts w:ascii="Arial" w:hAnsi="Arial" w:cs="Arial"/>
          <w:sz w:val="22"/>
          <w:szCs w:val="22"/>
        </w:rPr>
        <w:t>rms. Academic intervention and counseling s</w:t>
      </w:r>
      <w:r w:rsidR="00547BC2" w:rsidRPr="00C74C86">
        <w:rPr>
          <w:rFonts w:ascii="Arial" w:hAnsi="Arial" w:cs="Arial"/>
          <w:sz w:val="22"/>
          <w:szCs w:val="22"/>
        </w:rPr>
        <w:t xml:space="preserve">ervices are now available to At-Risk students to </w:t>
      </w:r>
      <w:r w:rsidR="00516B4F" w:rsidRPr="00C74C86">
        <w:rPr>
          <w:rFonts w:ascii="Arial" w:hAnsi="Arial" w:cs="Arial"/>
          <w:sz w:val="22"/>
          <w:szCs w:val="22"/>
        </w:rPr>
        <w:t xml:space="preserve">help </w:t>
      </w:r>
      <w:r w:rsidR="00547BC2" w:rsidRPr="00C74C86">
        <w:rPr>
          <w:rFonts w:ascii="Arial" w:hAnsi="Arial" w:cs="Arial"/>
          <w:sz w:val="22"/>
          <w:szCs w:val="22"/>
        </w:rPr>
        <w:t xml:space="preserve">identify and provide options to keep the student in school. </w:t>
      </w:r>
    </w:p>
    <w:p w:rsidR="00516B4F" w:rsidRPr="00C74C86" w:rsidRDefault="00516B4F" w:rsidP="001B4D6A">
      <w:pPr>
        <w:rPr>
          <w:rFonts w:ascii="Arial" w:hAnsi="Arial" w:cs="Arial"/>
          <w:sz w:val="22"/>
          <w:szCs w:val="22"/>
        </w:rPr>
      </w:pPr>
    </w:p>
    <w:p w:rsidR="00547BC2" w:rsidRPr="00C74C86" w:rsidRDefault="00547BC2" w:rsidP="001B4D6A">
      <w:pPr>
        <w:rPr>
          <w:rFonts w:ascii="Arial" w:hAnsi="Arial" w:cs="Arial"/>
          <w:sz w:val="22"/>
          <w:szCs w:val="22"/>
        </w:rPr>
      </w:pPr>
      <w:r w:rsidRPr="00C74C86">
        <w:rPr>
          <w:rFonts w:ascii="Arial" w:hAnsi="Arial" w:cs="Arial"/>
          <w:sz w:val="22"/>
          <w:szCs w:val="22"/>
        </w:rPr>
        <w:t>The Student Assistance Foundation (SAF) opened an Outreach Office on campus in 2007.  SAF provides group counseling sessions on financial literacy, including income potential for occupations relevant to their course of study, tools to manage debt, repayment options, and many other budgeting tools for students to contr</w:t>
      </w:r>
      <w:r w:rsidR="005B0C78" w:rsidRPr="00C74C86">
        <w:rPr>
          <w:rFonts w:ascii="Arial" w:hAnsi="Arial" w:cs="Arial"/>
          <w:sz w:val="22"/>
          <w:szCs w:val="22"/>
        </w:rPr>
        <w:t>ol and manage loan debt. The on-</w:t>
      </w:r>
      <w:r w:rsidRPr="00C74C86">
        <w:rPr>
          <w:rFonts w:ascii="Arial" w:hAnsi="Arial" w:cs="Arial"/>
          <w:sz w:val="22"/>
          <w:szCs w:val="22"/>
        </w:rPr>
        <w:t xml:space="preserve">campus Outreach </w:t>
      </w:r>
      <w:r w:rsidR="005B0C78" w:rsidRPr="00C74C86">
        <w:rPr>
          <w:rFonts w:ascii="Arial" w:hAnsi="Arial" w:cs="Arial"/>
          <w:sz w:val="22"/>
          <w:szCs w:val="22"/>
        </w:rPr>
        <w:t>Office has</w:t>
      </w:r>
      <w:r w:rsidRPr="00C74C86">
        <w:rPr>
          <w:rFonts w:ascii="Arial" w:hAnsi="Arial" w:cs="Arial"/>
          <w:sz w:val="22"/>
          <w:szCs w:val="22"/>
        </w:rPr>
        <w:t xml:space="preserve"> been instrumental in reducing Stafford loan default rate</w:t>
      </w:r>
      <w:r w:rsidR="00C92393" w:rsidRPr="00C74C86">
        <w:rPr>
          <w:rFonts w:ascii="Arial" w:hAnsi="Arial" w:cs="Arial"/>
          <w:sz w:val="22"/>
          <w:szCs w:val="22"/>
        </w:rPr>
        <w:t>s</w:t>
      </w:r>
      <w:r w:rsidRPr="00C74C86">
        <w:rPr>
          <w:rFonts w:ascii="Arial" w:hAnsi="Arial" w:cs="Arial"/>
          <w:sz w:val="22"/>
          <w:szCs w:val="22"/>
        </w:rPr>
        <w:t xml:space="preserve">.  </w:t>
      </w:r>
    </w:p>
    <w:p w:rsidR="004B01FD" w:rsidRPr="00D22F5D" w:rsidRDefault="004B01FD" w:rsidP="001B4D6A">
      <w:pPr>
        <w:rPr>
          <w:rFonts w:ascii="Arial" w:hAnsi="Arial" w:cs="Arial"/>
          <w:color w:val="0070C0"/>
          <w:sz w:val="22"/>
          <w:szCs w:val="22"/>
        </w:rPr>
      </w:pPr>
    </w:p>
    <w:p w:rsidR="00264A11" w:rsidRDefault="00264A11" w:rsidP="001B4D6A">
      <w:pPr>
        <w:rPr>
          <w:rFonts w:ascii="Arial" w:hAnsi="Arial" w:cs="Arial"/>
          <w:b/>
          <w:sz w:val="22"/>
          <w:szCs w:val="22"/>
        </w:rPr>
      </w:pPr>
    </w:p>
    <w:p w:rsidR="004B01FD" w:rsidRDefault="008A1515" w:rsidP="001B4D6A">
      <w:pPr>
        <w:jc w:val="center"/>
        <w:rPr>
          <w:rFonts w:ascii="Arial" w:hAnsi="Arial" w:cs="Arial"/>
          <w:sz w:val="22"/>
          <w:szCs w:val="22"/>
        </w:rPr>
      </w:pPr>
      <w:r w:rsidRPr="008A1515">
        <w:rPr>
          <w:noProof/>
          <w:szCs w:val="22"/>
          <w:lang w:eastAsia="en-US"/>
        </w:rPr>
        <w:lastRenderedPageBreak/>
        <w:drawing>
          <wp:inline distT="0" distB="0" distL="0" distR="0">
            <wp:extent cx="4687910" cy="3200400"/>
            <wp:effectExtent l="0" t="0" r="0" b="0"/>
            <wp:docPr id="5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152A0A" w:rsidRDefault="003B1FD6" w:rsidP="001B4D6A">
      <w:pPr>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p>
    <w:p w:rsidR="003B1FD6" w:rsidRDefault="003B1FD6" w:rsidP="001B4D6A">
      <w:pPr>
        <w:jc w:val="center"/>
        <w:rPr>
          <w:rFonts w:ascii="Arial" w:hAnsi="Arial" w:cs="Arial"/>
          <w:b/>
          <w:sz w:val="22"/>
          <w:szCs w:val="22"/>
        </w:rPr>
      </w:pPr>
      <w:r>
        <w:rPr>
          <w:rFonts w:ascii="Arial" w:hAnsi="Arial" w:cs="Arial"/>
          <w:b/>
          <w:sz w:val="22"/>
          <w:szCs w:val="22"/>
        </w:rPr>
        <w:t>Figure</w:t>
      </w:r>
      <w:r w:rsidRPr="00FC471B">
        <w:rPr>
          <w:rFonts w:ascii="Arial" w:hAnsi="Arial" w:cs="Arial"/>
          <w:b/>
          <w:sz w:val="22"/>
          <w:szCs w:val="22"/>
        </w:rPr>
        <w:t xml:space="preserve"> 3.D.</w:t>
      </w:r>
      <w:r w:rsidR="00426457">
        <w:rPr>
          <w:rFonts w:ascii="Arial" w:hAnsi="Arial" w:cs="Arial"/>
          <w:b/>
          <w:sz w:val="22"/>
          <w:szCs w:val="22"/>
        </w:rPr>
        <w:t>3</w:t>
      </w:r>
      <w:r>
        <w:rPr>
          <w:rFonts w:ascii="Arial" w:hAnsi="Arial" w:cs="Arial"/>
          <w:b/>
          <w:sz w:val="22"/>
          <w:szCs w:val="22"/>
        </w:rPr>
        <w:t>: Montana Tech Default Rates</w:t>
      </w:r>
    </w:p>
    <w:p w:rsidR="00F60CC3" w:rsidRDefault="00F60CC3" w:rsidP="001B4D6A">
      <w:pPr>
        <w:rPr>
          <w:rFonts w:ascii="Arial" w:hAnsi="Arial" w:cs="Arial"/>
          <w:sz w:val="22"/>
          <w:szCs w:val="22"/>
        </w:rPr>
      </w:pPr>
    </w:p>
    <w:p w:rsidR="00D22F5D" w:rsidRDefault="00094DE9" w:rsidP="001B4D6A">
      <w:pPr>
        <w:rPr>
          <w:rFonts w:ascii="Arial" w:hAnsi="Arial" w:cs="Arial"/>
          <w:sz w:val="22"/>
          <w:szCs w:val="22"/>
        </w:rPr>
      </w:pPr>
      <w:r w:rsidRPr="001C5B92">
        <w:rPr>
          <w:rFonts w:ascii="Arial" w:hAnsi="Arial" w:cs="Arial"/>
          <w:sz w:val="22"/>
          <w:szCs w:val="22"/>
        </w:rPr>
        <w:t xml:space="preserve">At a time when escalating higher education debt is making headlines nationwide, Montana Tech has proven it can help </w:t>
      </w:r>
      <w:r w:rsidR="003B1FD6">
        <w:rPr>
          <w:rFonts w:ascii="Arial" w:hAnsi="Arial" w:cs="Arial"/>
          <w:sz w:val="22"/>
          <w:szCs w:val="22"/>
        </w:rPr>
        <w:t xml:space="preserve">both </w:t>
      </w:r>
      <w:r w:rsidRPr="001C5B92">
        <w:rPr>
          <w:rFonts w:ascii="Arial" w:hAnsi="Arial" w:cs="Arial"/>
          <w:sz w:val="22"/>
          <w:szCs w:val="22"/>
        </w:rPr>
        <w:t>student</w:t>
      </w:r>
      <w:r w:rsidR="001C5520">
        <w:rPr>
          <w:rFonts w:ascii="Arial" w:hAnsi="Arial" w:cs="Arial"/>
          <w:sz w:val="22"/>
          <w:szCs w:val="22"/>
        </w:rPr>
        <w:t>s</w:t>
      </w:r>
      <w:r w:rsidRPr="001C5B92">
        <w:rPr>
          <w:rFonts w:ascii="Arial" w:hAnsi="Arial" w:cs="Arial"/>
          <w:sz w:val="22"/>
          <w:szCs w:val="22"/>
        </w:rPr>
        <w:t xml:space="preserve"> and </w:t>
      </w:r>
      <w:r w:rsidR="003B1FD6">
        <w:rPr>
          <w:rFonts w:ascii="Arial" w:hAnsi="Arial" w:cs="Arial"/>
          <w:sz w:val="22"/>
          <w:szCs w:val="22"/>
        </w:rPr>
        <w:t xml:space="preserve">their </w:t>
      </w:r>
      <w:r w:rsidRPr="001C5B92">
        <w:rPr>
          <w:rFonts w:ascii="Arial" w:hAnsi="Arial" w:cs="Arial"/>
          <w:sz w:val="22"/>
          <w:szCs w:val="22"/>
        </w:rPr>
        <w:t xml:space="preserve">parents successfully manage loan repayment. Tech is committed to offering assistance with entrance and exit counseling and </w:t>
      </w:r>
      <w:r w:rsidR="003B1FD6">
        <w:rPr>
          <w:rFonts w:ascii="Arial" w:hAnsi="Arial" w:cs="Arial"/>
          <w:sz w:val="22"/>
          <w:szCs w:val="22"/>
        </w:rPr>
        <w:t xml:space="preserve">with </w:t>
      </w:r>
      <w:r w:rsidRPr="001C5B92">
        <w:rPr>
          <w:rFonts w:ascii="Arial" w:hAnsi="Arial" w:cs="Arial"/>
          <w:sz w:val="22"/>
          <w:szCs w:val="22"/>
        </w:rPr>
        <w:t xml:space="preserve">educating students on responsible borrowing habits. Cohort default rates are calculated annually and are </w:t>
      </w:r>
      <w:r w:rsidRPr="00222B28">
        <w:rPr>
          <w:rFonts w:ascii="Arial" w:hAnsi="Arial" w:cs="Arial"/>
          <w:sz w:val="22"/>
          <w:szCs w:val="22"/>
        </w:rPr>
        <w:t>based on the percentage of students who enter repayment and default before the end of the next federal fiscal year. Official cohort rates are availa</w:t>
      </w:r>
      <w:r w:rsidR="002C536B" w:rsidRPr="00222B28">
        <w:rPr>
          <w:rFonts w:ascii="Arial" w:hAnsi="Arial" w:cs="Arial"/>
          <w:sz w:val="22"/>
          <w:szCs w:val="22"/>
        </w:rPr>
        <w:t>ble in September. (</w:t>
      </w:r>
      <w:r w:rsidR="003B1FD6" w:rsidRPr="00222B28">
        <w:rPr>
          <w:rFonts w:ascii="Arial" w:hAnsi="Arial" w:cs="Arial"/>
          <w:sz w:val="22"/>
          <w:szCs w:val="22"/>
        </w:rPr>
        <w:t xml:space="preserve">See </w:t>
      </w:r>
      <w:r w:rsidR="002C536B" w:rsidRPr="00222B28">
        <w:rPr>
          <w:rFonts w:ascii="Arial" w:hAnsi="Arial" w:cs="Arial"/>
          <w:sz w:val="22"/>
          <w:szCs w:val="22"/>
        </w:rPr>
        <w:t>Exhibit 3.D.II</w:t>
      </w:r>
      <w:r w:rsidR="003B1FD6" w:rsidRPr="00222B28">
        <w:rPr>
          <w:rFonts w:ascii="Arial" w:hAnsi="Arial" w:cs="Arial"/>
          <w:sz w:val="22"/>
          <w:szCs w:val="22"/>
        </w:rPr>
        <w:t>:</w:t>
      </w:r>
      <w:r w:rsidR="002C536B" w:rsidRPr="00222B28">
        <w:rPr>
          <w:rFonts w:ascii="Arial" w:hAnsi="Arial" w:cs="Arial"/>
          <w:sz w:val="22"/>
          <w:szCs w:val="22"/>
        </w:rPr>
        <w:t xml:space="preserve"> Financial Aid Statistics, Default Rates, State Audits and Federal Program Reviews</w:t>
      </w:r>
      <w:r w:rsidR="003B1FD6" w:rsidRPr="00222B28">
        <w:rPr>
          <w:rFonts w:ascii="Arial" w:hAnsi="Arial" w:cs="Arial"/>
          <w:sz w:val="22"/>
          <w:szCs w:val="22"/>
        </w:rPr>
        <w:t>.</w:t>
      </w:r>
      <w:r w:rsidRPr="00222B28">
        <w:rPr>
          <w:rFonts w:ascii="Arial" w:hAnsi="Arial" w:cs="Arial"/>
          <w:sz w:val="22"/>
          <w:szCs w:val="22"/>
        </w:rPr>
        <w:t xml:space="preserve">) Montana </w:t>
      </w:r>
      <w:r w:rsidRPr="001C5B92">
        <w:rPr>
          <w:rFonts w:ascii="Arial" w:hAnsi="Arial" w:cs="Arial"/>
          <w:sz w:val="22"/>
          <w:szCs w:val="22"/>
        </w:rPr>
        <w:t xml:space="preserve">Tech uses Campus Partners for all of its service requirements pertaining to federal Perkins loans.  All students who receive Federal Stafford loans must complete entrance counseling </w:t>
      </w:r>
      <w:r w:rsidR="005B0C78">
        <w:rPr>
          <w:rFonts w:ascii="Arial" w:hAnsi="Arial" w:cs="Arial"/>
          <w:sz w:val="22"/>
          <w:szCs w:val="22"/>
        </w:rPr>
        <w:t>online before certification of F</w:t>
      </w:r>
      <w:r w:rsidRPr="001C5B92">
        <w:rPr>
          <w:rFonts w:ascii="Arial" w:hAnsi="Arial" w:cs="Arial"/>
          <w:sz w:val="22"/>
          <w:szCs w:val="22"/>
        </w:rPr>
        <w:t xml:space="preserve">ederal Stafford loans. Federal Perkins loan borrowers must complete online entrance counseling before disbursement of that loan. </w:t>
      </w:r>
    </w:p>
    <w:p w:rsidR="00D22F5D" w:rsidRDefault="00D22F5D" w:rsidP="001B4D6A">
      <w:pPr>
        <w:rPr>
          <w:rFonts w:ascii="Arial" w:hAnsi="Arial" w:cs="Arial"/>
          <w:sz w:val="22"/>
          <w:szCs w:val="22"/>
        </w:rPr>
      </w:pPr>
    </w:p>
    <w:p w:rsidR="00094DE9" w:rsidRPr="001C5B92" w:rsidRDefault="00094DE9" w:rsidP="001B4D6A">
      <w:pPr>
        <w:rPr>
          <w:rFonts w:ascii="Arial" w:hAnsi="Arial" w:cs="Arial"/>
          <w:sz w:val="22"/>
          <w:szCs w:val="22"/>
        </w:rPr>
      </w:pPr>
      <w:r w:rsidRPr="001C5B92">
        <w:rPr>
          <w:rFonts w:ascii="Arial" w:hAnsi="Arial" w:cs="Arial"/>
          <w:sz w:val="22"/>
          <w:szCs w:val="22"/>
        </w:rPr>
        <w:t xml:space="preserve">Montana Tech also works very closely with </w:t>
      </w:r>
      <w:r w:rsidR="00D22F5D">
        <w:rPr>
          <w:rFonts w:ascii="Arial" w:hAnsi="Arial" w:cs="Arial"/>
          <w:sz w:val="22"/>
          <w:szCs w:val="22"/>
        </w:rPr>
        <w:t xml:space="preserve">the </w:t>
      </w:r>
      <w:r w:rsidRPr="001C5B92">
        <w:rPr>
          <w:rFonts w:ascii="Arial" w:hAnsi="Arial" w:cs="Arial"/>
          <w:sz w:val="22"/>
          <w:szCs w:val="22"/>
        </w:rPr>
        <w:t>Student Assistance Foundation</w:t>
      </w:r>
      <w:r w:rsidR="002C536B" w:rsidRPr="001C5B92">
        <w:rPr>
          <w:rFonts w:ascii="Arial" w:hAnsi="Arial" w:cs="Arial"/>
          <w:sz w:val="22"/>
          <w:szCs w:val="22"/>
        </w:rPr>
        <w:t xml:space="preserve"> (SAF)</w:t>
      </w:r>
      <w:r w:rsidRPr="001C5B92">
        <w:rPr>
          <w:rFonts w:ascii="Arial" w:hAnsi="Arial" w:cs="Arial"/>
          <w:sz w:val="22"/>
          <w:szCs w:val="22"/>
        </w:rPr>
        <w:t xml:space="preserve"> to provide out</w:t>
      </w:r>
      <w:r w:rsidR="00C56112">
        <w:rPr>
          <w:rFonts w:ascii="Arial" w:hAnsi="Arial" w:cs="Arial"/>
          <w:sz w:val="22"/>
          <w:szCs w:val="22"/>
        </w:rPr>
        <w:t>reach and support to</w:t>
      </w:r>
      <w:r w:rsidRPr="001C5B92">
        <w:rPr>
          <w:rFonts w:ascii="Arial" w:hAnsi="Arial" w:cs="Arial"/>
          <w:sz w:val="22"/>
          <w:szCs w:val="22"/>
        </w:rPr>
        <w:t xml:space="preserve"> students and </w:t>
      </w:r>
      <w:r w:rsidR="003B1FD6">
        <w:rPr>
          <w:rFonts w:ascii="Arial" w:hAnsi="Arial" w:cs="Arial"/>
          <w:sz w:val="22"/>
          <w:szCs w:val="22"/>
        </w:rPr>
        <w:t xml:space="preserve">to </w:t>
      </w:r>
      <w:r w:rsidRPr="001C5B92">
        <w:rPr>
          <w:rFonts w:ascii="Arial" w:hAnsi="Arial" w:cs="Arial"/>
          <w:sz w:val="22"/>
          <w:szCs w:val="22"/>
        </w:rPr>
        <w:t>the greater community. SAF provides group counseling sessions and o</w:t>
      </w:r>
      <w:r w:rsidR="00D22F5D">
        <w:rPr>
          <w:rFonts w:ascii="Arial" w:hAnsi="Arial" w:cs="Arial"/>
          <w:sz w:val="22"/>
          <w:szCs w:val="22"/>
        </w:rPr>
        <w:t>ne-on-one sessions to all first-</w:t>
      </w:r>
      <w:r w:rsidRPr="001C5B92">
        <w:rPr>
          <w:rFonts w:ascii="Arial" w:hAnsi="Arial" w:cs="Arial"/>
          <w:sz w:val="22"/>
          <w:szCs w:val="22"/>
        </w:rPr>
        <w:t xml:space="preserve">time and transfer borrowers on student </w:t>
      </w:r>
      <w:r w:rsidR="00913B3B">
        <w:rPr>
          <w:rFonts w:ascii="Arial" w:hAnsi="Arial" w:cs="Arial"/>
          <w:sz w:val="22"/>
          <w:szCs w:val="22"/>
        </w:rPr>
        <w:t>loan obligations. The counseling session provide</w:t>
      </w:r>
      <w:r w:rsidR="00C92393">
        <w:rPr>
          <w:rFonts w:ascii="Arial" w:hAnsi="Arial" w:cs="Arial"/>
          <w:sz w:val="22"/>
          <w:szCs w:val="22"/>
        </w:rPr>
        <w:t>s</w:t>
      </w:r>
      <w:r w:rsidR="00913B3B">
        <w:rPr>
          <w:rFonts w:ascii="Arial" w:hAnsi="Arial" w:cs="Arial"/>
          <w:sz w:val="22"/>
          <w:szCs w:val="22"/>
        </w:rPr>
        <w:t xml:space="preserve"> information on</w:t>
      </w:r>
      <w:r w:rsidRPr="001C5B92">
        <w:rPr>
          <w:rFonts w:ascii="Arial" w:hAnsi="Arial" w:cs="Arial"/>
          <w:sz w:val="22"/>
          <w:szCs w:val="22"/>
        </w:rPr>
        <w:t xml:space="preserve"> how to manage student loans, both during and after college. Students are required to complete exit counseling at the end of their academic careers.  </w:t>
      </w:r>
    </w:p>
    <w:p w:rsidR="00212730" w:rsidRPr="008B0519" w:rsidRDefault="00212730" w:rsidP="001B4D6A">
      <w:pPr>
        <w:rPr>
          <w:lang w:eastAsia="en-US"/>
        </w:rPr>
      </w:pPr>
    </w:p>
    <w:p w:rsidR="004D2808" w:rsidRPr="008B0519" w:rsidRDefault="009A392B" w:rsidP="001B4D6A">
      <w:pPr>
        <w:rPr>
          <w:rFonts w:ascii="Arial" w:hAnsi="Arial" w:cs="Arial"/>
          <w:b/>
          <w:sz w:val="22"/>
          <w:szCs w:val="22"/>
        </w:rPr>
      </w:pPr>
      <w:r w:rsidRPr="008B0519">
        <w:rPr>
          <w:rFonts w:ascii="Arial" w:hAnsi="Arial" w:cs="Arial"/>
          <w:b/>
          <w:sz w:val="22"/>
          <w:szCs w:val="22"/>
        </w:rPr>
        <w:t>3.D.9</w:t>
      </w:r>
      <w:r w:rsidRPr="008B0519">
        <w:rPr>
          <w:rFonts w:ascii="Arial" w:hAnsi="Arial" w:cs="Arial"/>
          <w:b/>
          <w:sz w:val="22"/>
          <w:szCs w:val="22"/>
        </w:rPr>
        <w:tab/>
      </w:r>
      <w:r w:rsidR="004D2808" w:rsidRPr="008B0519">
        <w:rPr>
          <w:rFonts w:ascii="Arial" w:hAnsi="Arial" w:cs="Arial"/>
          <w:b/>
          <w:sz w:val="22"/>
          <w:szCs w:val="22"/>
        </w:rPr>
        <w:t>The institution provides for the orientation of new students, including special populations, at both undergraduate and graduate levels.</w:t>
      </w:r>
    </w:p>
    <w:p w:rsidR="00CA2A3F" w:rsidRPr="008B0519" w:rsidRDefault="00CA2A3F" w:rsidP="001B4D6A">
      <w:pPr>
        <w:rPr>
          <w:lang w:eastAsia="en-US"/>
        </w:rPr>
      </w:pPr>
    </w:p>
    <w:p w:rsidR="001C5B92" w:rsidRPr="00C31353" w:rsidRDefault="00CA2A3F" w:rsidP="001B4D6A">
      <w:pPr>
        <w:rPr>
          <w:rFonts w:ascii="Arial" w:hAnsi="Arial" w:cs="Arial"/>
          <w:sz w:val="22"/>
          <w:szCs w:val="22"/>
          <w:lang w:eastAsia="en-US"/>
        </w:rPr>
      </w:pPr>
      <w:r w:rsidRPr="008B0519">
        <w:rPr>
          <w:rFonts w:ascii="Arial" w:hAnsi="Arial" w:cs="Arial"/>
          <w:sz w:val="22"/>
          <w:szCs w:val="22"/>
          <w:lang w:eastAsia="en-US"/>
        </w:rPr>
        <w:t>Orientations for new and transfer students are offered at the beginning of every semester</w:t>
      </w:r>
      <w:r w:rsidRPr="00C31353">
        <w:rPr>
          <w:rFonts w:ascii="Arial" w:hAnsi="Arial" w:cs="Arial"/>
          <w:sz w:val="22"/>
          <w:szCs w:val="22"/>
          <w:lang w:eastAsia="en-US"/>
        </w:rPr>
        <w:t xml:space="preserve">. </w:t>
      </w:r>
      <w:r w:rsidR="00731C71" w:rsidRPr="006B0997">
        <w:rPr>
          <w:rFonts w:ascii="Arial" w:hAnsi="Arial" w:cs="Arial"/>
          <w:sz w:val="22"/>
          <w:szCs w:val="22"/>
          <w:lang w:eastAsia="en-US"/>
        </w:rPr>
        <w:t>(</w:t>
      </w:r>
      <w:r w:rsidR="00D520E0" w:rsidRPr="006B0997">
        <w:rPr>
          <w:rFonts w:ascii="Arial" w:hAnsi="Arial" w:cs="Arial"/>
          <w:sz w:val="22"/>
          <w:szCs w:val="22"/>
          <w:lang w:eastAsia="en-US"/>
        </w:rPr>
        <w:t xml:space="preserve">See </w:t>
      </w:r>
      <w:r w:rsidR="00D57F25" w:rsidRPr="006B0997">
        <w:rPr>
          <w:rFonts w:ascii="Arial" w:hAnsi="Arial" w:cs="Arial"/>
          <w:sz w:val="22"/>
          <w:szCs w:val="22"/>
          <w:lang w:eastAsia="en-US"/>
        </w:rPr>
        <w:t xml:space="preserve">Exhibit </w:t>
      </w:r>
      <w:r w:rsidR="00B97ECA" w:rsidRPr="006B0997">
        <w:rPr>
          <w:rFonts w:ascii="Arial" w:hAnsi="Arial" w:cs="Arial"/>
          <w:sz w:val="22"/>
          <w:szCs w:val="22"/>
          <w:lang w:eastAsia="en-US"/>
        </w:rPr>
        <w:t>3.D</w:t>
      </w:r>
      <w:r w:rsidR="00EC59D5" w:rsidRPr="006B0997">
        <w:rPr>
          <w:rFonts w:ascii="Arial" w:hAnsi="Arial" w:cs="Arial"/>
          <w:sz w:val="22"/>
          <w:szCs w:val="22"/>
          <w:lang w:eastAsia="en-US"/>
        </w:rPr>
        <w:t>.</w:t>
      </w:r>
      <w:r w:rsidR="006B0997" w:rsidRPr="00330EF3">
        <w:rPr>
          <w:rFonts w:ascii="Arial" w:hAnsi="Arial" w:cs="Arial"/>
          <w:sz w:val="22"/>
          <w:szCs w:val="22"/>
          <w:lang w:eastAsia="en-US"/>
        </w:rPr>
        <w:t>V</w:t>
      </w:r>
      <w:r w:rsidR="00C56112">
        <w:rPr>
          <w:rFonts w:ascii="Arial" w:hAnsi="Arial" w:cs="Arial"/>
          <w:sz w:val="22"/>
          <w:szCs w:val="22"/>
          <w:lang w:eastAsia="en-US"/>
        </w:rPr>
        <w:t>:</w:t>
      </w:r>
      <w:r w:rsidR="00E846BE">
        <w:rPr>
          <w:rFonts w:ascii="Arial" w:hAnsi="Arial" w:cs="Arial"/>
          <w:sz w:val="22"/>
          <w:szCs w:val="22"/>
          <w:lang w:eastAsia="en-US"/>
        </w:rPr>
        <w:t xml:space="preserve"> </w:t>
      </w:r>
      <w:hyperlink r:id="rId56" w:history="1">
        <w:r w:rsidR="002C536B" w:rsidRPr="00330EF3">
          <w:rPr>
            <w:rStyle w:val="Hyperlink"/>
            <w:rFonts w:ascii="Arial" w:hAnsi="Arial" w:cs="Arial"/>
            <w:i/>
            <w:sz w:val="22"/>
            <w:szCs w:val="22"/>
            <w:lang w:eastAsia="en-US"/>
          </w:rPr>
          <w:t>Orientation Programs</w:t>
        </w:r>
      </w:hyperlink>
      <w:r w:rsidR="00D520E0" w:rsidRPr="006B0997">
        <w:rPr>
          <w:rFonts w:ascii="Arial" w:hAnsi="Arial" w:cs="Arial"/>
          <w:i/>
          <w:color w:val="0033CC"/>
          <w:sz w:val="22"/>
          <w:szCs w:val="22"/>
          <w:u w:val="single"/>
          <w:lang w:eastAsia="en-US"/>
        </w:rPr>
        <w:t>.</w:t>
      </w:r>
      <w:r w:rsidR="00731C71" w:rsidRPr="006B0997">
        <w:rPr>
          <w:rFonts w:ascii="Arial" w:hAnsi="Arial" w:cs="Arial"/>
          <w:sz w:val="22"/>
          <w:szCs w:val="22"/>
          <w:lang w:eastAsia="en-US"/>
        </w:rPr>
        <w:t>)</w:t>
      </w:r>
      <w:r w:rsidR="002C536B" w:rsidRPr="006B0997">
        <w:rPr>
          <w:rFonts w:ascii="Arial" w:hAnsi="Arial" w:cs="Arial"/>
          <w:sz w:val="22"/>
          <w:szCs w:val="22"/>
          <w:lang w:eastAsia="en-US"/>
        </w:rPr>
        <w:t xml:space="preserve"> </w:t>
      </w:r>
      <w:r w:rsidR="001C5B92" w:rsidRPr="006B0997">
        <w:rPr>
          <w:rFonts w:ascii="Arial" w:hAnsi="Arial" w:cs="Arial"/>
          <w:sz w:val="22"/>
          <w:szCs w:val="22"/>
          <w:lang w:eastAsia="en-US"/>
        </w:rPr>
        <w:t>Expanded o</w:t>
      </w:r>
      <w:r w:rsidR="002C536B" w:rsidRPr="006B0997">
        <w:rPr>
          <w:rFonts w:ascii="Arial" w:hAnsi="Arial" w:cs="Arial"/>
          <w:sz w:val="22"/>
          <w:szCs w:val="22"/>
          <w:lang w:eastAsia="en-US"/>
        </w:rPr>
        <w:t xml:space="preserve">rientation </w:t>
      </w:r>
      <w:r w:rsidR="001C5B92" w:rsidRPr="006B0997">
        <w:rPr>
          <w:rFonts w:ascii="Arial" w:hAnsi="Arial" w:cs="Arial"/>
          <w:sz w:val="22"/>
          <w:szCs w:val="22"/>
          <w:lang w:eastAsia="en-US"/>
        </w:rPr>
        <w:t>programs are also offered for</w:t>
      </w:r>
      <w:r w:rsidR="001C5B92" w:rsidRPr="00C31353">
        <w:rPr>
          <w:rFonts w:ascii="Arial" w:hAnsi="Arial" w:cs="Arial"/>
          <w:sz w:val="22"/>
          <w:szCs w:val="22"/>
          <w:lang w:eastAsia="en-US"/>
        </w:rPr>
        <w:t xml:space="preserve"> </w:t>
      </w:r>
      <w:r w:rsidR="00C56112">
        <w:rPr>
          <w:rFonts w:ascii="Arial" w:hAnsi="Arial" w:cs="Arial"/>
          <w:sz w:val="22"/>
          <w:szCs w:val="22"/>
          <w:lang w:eastAsia="en-US"/>
        </w:rPr>
        <w:t>g</w:t>
      </w:r>
      <w:r w:rsidR="00BA4C33" w:rsidRPr="00C31353">
        <w:rPr>
          <w:rFonts w:ascii="Arial" w:hAnsi="Arial" w:cs="Arial"/>
          <w:sz w:val="22"/>
          <w:szCs w:val="22"/>
          <w:lang w:eastAsia="en-US"/>
        </w:rPr>
        <w:t>raduate</w:t>
      </w:r>
      <w:r w:rsidR="001C5B92" w:rsidRPr="00C31353">
        <w:rPr>
          <w:rFonts w:ascii="Arial" w:hAnsi="Arial" w:cs="Arial"/>
          <w:sz w:val="22"/>
          <w:szCs w:val="22"/>
          <w:lang w:eastAsia="en-US"/>
        </w:rPr>
        <w:t>,</w:t>
      </w:r>
      <w:r w:rsidR="00170554" w:rsidRPr="00C31353">
        <w:rPr>
          <w:rFonts w:ascii="Arial" w:hAnsi="Arial" w:cs="Arial"/>
          <w:sz w:val="22"/>
          <w:szCs w:val="22"/>
          <w:lang w:eastAsia="en-US"/>
        </w:rPr>
        <w:t xml:space="preserve"> </w:t>
      </w:r>
      <w:r w:rsidR="00C56112">
        <w:rPr>
          <w:rFonts w:ascii="Arial" w:hAnsi="Arial" w:cs="Arial"/>
          <w:sz w:val="22"/>
          <w:szCs w:val="22"/>
          <w:lang w:eastAsia="en-US"/>
        </w:rPr>
        <w:t>i</w:t>
      </w:r>
      <w:r w:rsidR="00BA4C33" w:rsidRPr="00C31353">
        <w:rPr>
          <w:rFonts w:ascii="Arial" w:hAnsi="Arial" w:cs="Arial"/>
          <w:sz w:val="22"/>
          <w:szCs w:val="22"/>
          <w:lang w:eastAsia="en-US"/>
        </w:rPr>
        <w:t>nternational,</w:t>
      </w:r>
      <w:r w:rsidR="00D520E0">
        <w:rPr>
          <w:rFonts w:ascii="Arial" w:hAnsi="Arial" w:cs="Arial"/>
          <w:sz w:val="22"/>
          <w:szCs w:val="22"/>
          <w:lang w:eastAsia="en-US"/>
        </w:rPr>
        <w:t xml:space="preserve"> and</w:t>
      </w:r>
      <w:r w:rsidR="001C5B92" w:rsidRPr="00C31353">
        <w:rPr>
          <w:rFonts w:ascii="Arial" w:hAnsi="Arial" w:cs="Arial"/>
          <w:sz w:val="22"/>
          <w:szCs w:val="22"/>
          <w:lang w:eastAsia="en-US"/>
        </w:rPr>
        <w:t xml:space="preserve"> College of Technology</w:t>
      </w:r>
      <w:r w:rsidR="00BA4C33" w:rsidRPr="00C31353">
        <w:rPr>
          <w:rFonts w:ascii="Arial" w:hAnsi="Arial" w:cs="Arial"/>
          <w:sz w:val="22"/>
          <w:szCs w:val="22"/>
          <w:lang w:eastAsia="en-US"/>
        </w:rPr>
        <w:t xml:space="preserve"> students</w:t>
      </w:r>
      <w:r w:rsidR="001C5B92" w:rsidRPr="00C31353">
        <w:rPr>
          <w:rFonts w:ascii="Arial" w:hAnsi="Arial" w:cs="Arial"/>
          <w:sz w:val="22"/>
          <w:szCs w:val="22"/>
          <w:lang w:eastAsia="en-US"/>
        </w:rPr>
        <w:t xml:space="preserve">.  In addition to the orientation programs, students are introduced to </w:t>
      </w:r>
      <w:r w:rsidR="00BA4C33" w:rsidRPr="00C31353">
        <w:rPr>
          <w:rFonts w:ascii="Arial" w:hAnsi="Arial" w:cs="Arial"/>
          <w:sz w:val="22"/>
          <w:szCs w:val="22"/>
          <w:lang w:eastAsia="en-US"/>
        </w:rPr>
        <w:t xml:space="preserve">the </w:t>
      </w:r>
      <w:r w:rsidR="001C5B92" w:rsidRPr="00C31353">
        <w:rPr>
          <w:rFonts w:ascii="Arial" w:hAnsi="Arial" w:cs="Arial"/>
          <w:sz w:val="22"/>
          <w:szCs w:val="22"/>
          <w:lang w:eastAsia="en-US"/>
        </w:rPr>
        <w:t xml:space="preserve">campus and </w:t>
      </w:r>
      <w:r w:rsidR="00BA4C33" w:rsidRPr="00C31353">
        <w:rPr>
          <w:rFonts w:ascii="Arial" w:hAnsi="Arial" w:cs="Arial"/>
          <w:sz w:val="22"/>
          <w:szCs w:val="22"/>
          <w:lang w:eastAsia="en-US"/>
        </w:rPr>
        <w:t xml:space="preserve">student </w:t>
      </w:r>
      <w:r w:rsidR="001C5B92" w:rsidRPr="00C31353">
        <w:rPr>
          <w:rFonts w:ascii="Arial" w:hAnsi="Arial" w:cs="Arial"/>
          <w:sz w:val="22"/>
          <w:szCs w:val="22"/>
          <w:lang w:eastAsia="en-US"/>
        </w:rPr>
        <w:t>services during T</w:t>
      </w:r>
      <w:r w:rsidR="002C43D3" w:rsidRPr="00C31353">
        <w:rPr>
          <w:rFonts w:ascii="Arial" w:hAnsi="Arial" w:cs="Arial"/>
          <w:sz w:val="22"/>
          <w:szCs w:val="22"/>
          <w:lang w:eastAsia="en-US"/>
        </w:rPr>
        <w:t xml:space="preserve">ech </w:t>
      </w:r>
      <w:r w:rsidR="00BA4C33" w:rsidRPr="00C31353">
        <w:rPr>
          <w:rFonts w:ascii="Arial" w:hAnsi="Arial" w:cs="Arial"/>
          <w:sz w:val="22"/>
          <w:szCs w:val="22"/>
          <w:lang w:eastAsia="en-US"/>
        </w:rPr>
        <w:t>and R</w:t>
      </w:r>
      <w:r w:rsidR="002C43D3" w:rsidRPr="00C31353">
        <w:rPr>
          <w:rFonts w:ascii="Arial" w:hAnsi="Arial" w:cs="Arial"/>
          <w:sz w:val="22"/>
          <w:szCs w:val="22"/>
          <w:lang w:eastAsia="en-US"/>
        </w:rPr>
        <w:t>egistration Days</w:t>
      </w:r>
      <w:r w:rsidR="00BA4C33" w:rsidRPr="00C31353">
        <w:rPr>
          <w:rFonts w:ascii="Arial" w:hAnsi="Arial" w:cs="Arial"/>
          <w:sz w:val="22"/>
          <w:szCs w:val="22"/>
          <w:lang w:eastAsia="en-US"/>
        </w:rPr>
        <w:t>.  Tech Days are offered during the academic year to introduce the campus to prospec</w:t>
      </w:r>
      <w:r w:rsidR="001C5520">
        <w:rPr>
          <w:rFonts w:ascii="Arial" w:hAnsi="Arial" w:cs="Arial"/>
          <w:sz w:val="22"/>
          <w:szCs w:val="22"/>
          <w:lang w:eastAsia="en-US"/>
        </w:rPr>
        <w:t>tive students</w:t>
      </w:r>
      <w:r w:rsidR="00D520E0">
        <w:rPr>
          <w:rFonts w:ascii="Arial" w:hAnsi="Arial" w:cs="Arial"/>
          <w:sz w:val="22"/>
          <w:szCs w:val="22"/>
          <w:lang w:eastAsia="en-US"/>
        </w:rPr>
        <w:t>,</w:t>
      </w:r>
      <w:r w:rsidR="001C5520">
        <w:rPr>
          <w:rFonts w:ascii="Arial" w:hAnsi="Arial" w:cs="Arial"/>
          <w:sz w:val="22"/>
          <w:szCs w:val="22"/>
          <w:lang w:eastAsia="en-US"/>
        </w:rPr>
        <w:t xml:space="preserve"> and Registration D</w:t>
      </w:r>
      <w:r w:rsidR="00BA4C33" w:rsidRPr="00C31353">
        <w:rPr>
          <w:rFonts w:ascii="Arial" w:hAnsi="Arial" w:cs="Arial"/>
          <w:sz w:val="22"/>
          <w:szCs w:val="22"/>
          <w:lang w:eastAsia="en-US"/>
        </w:rPr>
        <w:t>ays are offered during the summer to advise and register the student.</w:t>
      </w:r>
      <w:r w:rsidR="00FC471B" w:rsidRPr="00C31353">
        <w:rPr>
          <w:rFonts w:ascii="Arial" w:hAnsi="Arial" w:cs="Arial"/>
          <w:sz w:val="22"/>
          <w:szCs w:val="22"/>
          <w:lang w:eastAsia="en-US"/>
        </w:rPr>
        <w:t xml:space="preserve"> </w:t>
      </w:r>
      <w:r w:rsidR="00D520E0">
        <w:rPr>
          <w:rFonts w:ascii="Arial" w:hAnsi="Arial" w:cs="Arial"/>
          <w:sz w:val="22"/>
          <w:szCs w:val="22"/>
          <w:lang w:eastAsia="en-US"/>
        </w:rPr>
        <w:t>Figure</w:t>
      </w:r>
      <w:r w:rsidR="00426457">
        <w:rPr>
          <w:rFonts w:ascii="Arial" w:hAnsi="Arial" w:cs="Arial"/>
          <w:sz w:val="22"/>
          <w:szCs w:val="22"/>
          <w:lang w:eastAsia="en-US"/>
        </w:rPr>
        <w:t xml:space="preserve"> 3.D.4</w:t>
      </w:r>
      <w:r w:rsidR="00BA4C33" w:rsidRPr="00C31353">
        <w:rPr>
          <w:rFonts w:ascii="Arial" w:hAnsi="Arial" w:cs="Arial"/>
          <w:sz w:val="22"/>
          <w:szCs w:val="22"/>
          <w:lang w:eastAsia="en-US"/>
        </w:rPr>
        <w:t xml:space="preserve"> depicts </w:t>
      </w:r>
      <w:r w:rsidR="00BA4C33" w:rsidRPr="00222B28">
        <w:rPr>
          <w:rFonts w:ascii="Arial" w:hAnsi="Arial" w:cs="Arial"/>
          <w:sz w:val="22"/>
          <w:szCs w:val="22"/>
          <w:lang w:eastAsia="en-US"/>
        </w:rPr>
        <w:t>increased student satisfaction</w:t>
      </w:r>
      <w:r w:rsidR="00BA4C33" w:rsidRPr="00C31353">
        <w:rPr>
          <w:rFonts w:ascii="Arial" w:hAnsi="Arial" w:cs="Arial"/>
          <w:sz w:val="22"/>
          <w:szCs w:val="22"/>
          <w:lang w:eastAsia="en-US"/>
        </w:rPr>
        <w:t xml:space="preserve"> </w:t>
      </w:r>
      <w:r w:rsidR="00D520E0">
        <w:rPr>
          <w:rFonts w:ascii="Arial" w:hAnsi="Arial" w:cs="Arial"/>
          <w:sz w:val="22"/>
          <w:szCs w:val="22"/>
          <w:lang w:eastAsia="en-US"/>
        </w:rPr>
        <w:t>on how</w:t>
      </w:r>
      <w:r w:rsidR="00BA4C33" w:rsidRPr="00C31353">
        <w:rPr>
          <w:rFonts w:ascii="Arial" w:hAnsi="Arial" w:cs="Arial"/>
          <w:sz w:val="22"/>
          <w:szCs w:val="22"/>
          <w:lang w:eastAsia="en-US"/>
        </w:rPr>
        <w:t xml:space="preserve"> new </w:t>
      </w:r>
      <w:r w:rsidR="00E942F2" w:rsidRPr="00C31353">
        <w:rPr>
          <w:rFonts w:ascii="Arial" w:hAnsi="Arial" w:cs="Arial"/>
          <w:sz w:val="22"/>
          <w:szCs w:val="22"/>
          <w:lang w:eastAsia="en-US"/>
        </w:rPr>
        <w:t>student orientation services</w:t>
      </w:r>
      <w:r w:rsidR="00BA4C33" w:rsidRPr="00C31353">
        <w:rPr>
          <w:rFonts w:ascii="Arial" w:hAnsi="Arial" w:cs="Arial"/>
          <w:sz w:val="22"/>
          <w:szCs w:val="22"/>
          <w:lang w:eastAsia="en-US"/>
        </w:rPr>
        <w:t xml:space="preserve"> help student</w:t>
      </w:r>
      <w:r w:rsidR="00D520E0">
        <w:rPr>
          <w:rFonts w:ascii="Arial" w:hAnsi="Arial" w:cs="Arial"/>
          <w:sz w:val="22"/>
          <w:szCs w:val="22"/>
          <w:lang w:eastAsia="en-US"/>
        </w:rPr>
        <w:t>s</w:t>
      </w:r>
      <w:r w:rsidR="00BA4C33" w:rsidRPr="00C31353">
        <w:rPr>
          <w:rFonts w:ascii="Arial" w:hAnsi="Arial" w:cs="Arial"/>
          <w:sz w:val="22"/>
          <w:szCs w:val="22"/>
          <w:lang w:eastAsia="en-US"/>
        </w:rPr>
        <w:t xml:space="preserve"> adjust to college.</w:t>
      </w:r>
    </w:p>
    <w:p w:rsidR="008D1ABF" w:rsidRDefault="008D1ABF" w:rsidP="001B4D6A">
      <w:pPr>
        <w:rPr>
          <w:rFonts w:ascii="Arial" w:hAnsi="Arial" w:cs="Arial"/>
          <w:sz w:val="22"/>
          <w:szCs w:val="22"/>
          <w:lang w:eastAsia="en-US"/>
        </w:rPr>
      </w:pPr>
    </w:p>
    <w:p w:rsidR="00861746" w:rsidRPr="00861746" w:rsidRDefault="00CE1FC4" w:rsidP="001B4D6A">
      <w:pPr>
        <w:jc w:val="center"/>
        <w:rPr>
          <w:rFonts w:ascii="Arial" w:hAnsi="Arial" w:cs="Arial"/>
          <w:sz w:val="22"/>
          <w:szCs w:val="22"/>
          <w:lang w:eastAsia="en-US"/>
        </w:rPr>
      </w:pPr>
      <w:r w:rsidRPr="00CE1FC4">
        <w:rPr>
          <w:noProof/>
          <w:szCs w:val="22"/>
          <w:lang w:eastAsia="en-US"/>
        </w:rPr>
        <w:drawing>
          <wp:inline distT="0" distB="0" distL="0" distR="0">
            <wp:extent cx="4687910" cy="3200400"/>
            <wp:effectExtent l="0" t="0" r="0" b="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F65855" w:rsidRDefault="00F65855" w:rsidP="001B4D6A">
      <w:pPr>
        <w:rPr>
          <w:rFonts w:ascii="Arial" w:hAnsi="Arial" w:cs="Arial"/>
          <w:b/>
          <w:sz w:val="22"/>
          <w:szCs w:val="22"/>
        </w:rPr>
      </w:pPr>
    </w:p>
    <w:p w:rsidR="00D520E0" w:rsidRPr="00894D00" w:rsidRDefault="00D520E0" w:rsidP="001B4D6A">
      <w:pPr>
        <w:jc w:val="center"/>
        <w:rPr>
          <w:rFonts w:ascii="Arial" w:hAnsi="Arial" w:cs="Arial"/>
          <w:b/>
          <w:sz w:val="22"/>
          <w:szCs w:val="22"/>
          <w:lang w:eastAsia="en-US"/>
        </w:rPr>
      </w:pPr>
      <w:r>
        <w:rPr>
          <w:rFonts w:ascii="Arial" w:hAnsi="Arial" w:cs="Arial"/>
          <w:b/>
          <w:sz w:val="22"/>
          <w:szCs w:val="22"/>
          <w:lang w:eastAsia="en-US"/>
        </w:rPr>
        <w:t>Figure</w:t>
      </w:r>
      <w:r w:rsidR="00426457">
        <w:rPr>
          <w:rFonts w:ascii="Arial" w:hAnsi="Arial" w:cs="Arial"/>
          <w:b/>
          <w:sz w:val="22"/>
          <w:szCs w:val="22"/>
          <w:lang w:eastAsia="en-US"/>
        </w:rPr>
        <w:t xml:space="preserve"> 3.D.4</w:t>
      </w:r>
      <w:r>
        <w:rPr>
          <w:rFonts w:ascii="Arial" w:hAnsi="Arial" w:cs="Arial"/>
          <w:b/>
          <w:sz w:val="22"/>
          <w:szCs w:val="22"/>
          <w:lang w:eastAsia="en-US"/>
        </w:rPr>
        <w:t>: Student Satisfaction</w:t>
      </w:r>
    </w:p>
    <w:p w:rsidR="00D520E0" w:rsidRDefault="00D520E0" w:rsidP="001B4D6A">
      <w:pPr>
        <w:rPr>
          <w:rFonts w:ascii="Arial" w:hAnsi="Arial" w:cs="Arial"/>
          <w:b/>
          <w:sz w:val="22"/>
          <w:szCs w:val="22"/>
        </w:rPr>
      </w:pPr>
    </w:p>
    <w:p w:rsidR="004D2808" w:rsidRPr="004D2808" w:rsidRDefault="009A392B" w:rsidP="001B4D6A">
      <w:pPr>
        <w:rPr>
          <w:rFonts w:ascii="Arial" w:hAnsi="Arial" w:cs="Arial"/>
          <w:b/>
          <w:sz w:val="22"/>
          <w:szCs w:val="22"/>
        </w:rPr>
      </w:pPr>
      <w:r>
        <w:rPr>
          <w:rFonts w:ascii="Arial" w:hAnsi="Arial" w:cs="Arial"/>
          <w:b/>
          <w:sz w:val="22"/>
          <w:szCs w:val="22"/>
        </w:rPr>
        <w:t>3.D.10</w:t>
      </w:r>
      <w:r>
        <w:rPr>
          <w:rFonts w:ascii="Arial" w:hAnsi="Arial" w:cs="Arial"/>
          <w:b/>
          <w:sz w:val="22"/>
          <w:szCs w:val="22"/>
        </w:rPr>
        <w:tab/>
      </w:r>
      <w:r w:rsidR="004D2808" w:rsidRPr="004D2808">
        <w:rPr>
          <w:rFonts w:ascii="Arial" w:hAnsi="Arial" w:cs="Arial"/>
          <w:b/>
          <w:sz w:val="22"/>
          <w:szCs w:val="22"/>
        </w:rPr>
        <w:t>A systematic program of academic and other educational program advisement is provided. Advisors help students make appropriate decisions concerning academic choices and career paths. Specific advisor responsibilities are defined, published, and made available to students (Standards Two and Four, Standard Indicators 2.C.5 and 4.A.2).</w:t>
      </w:r>
    </w:p>
    <w:p w:rsidR="00FE42E6" w:rsidRDefault="00FE42E6" w:rsidP="001B4D6A"/>
    <w:p w:rsidR="00FE42E6" w:rsidRPr="00C21BC4" w:rsidRDefault="00D520E0" w:rsidP="001B4D6A">
      <w:pPr>
        <w:rPr>
          <w:rFonts w:ascii="Arial" w:hAnsi="Arial" w:cs="Arial"/>
          <w:sz w:val="22"/>
          <w:szCs w:val="22"/>
        </w:rPr>
      </w:pPr>
      <w:r>
        <w:rPr>
          <w:rFonts w:ascii="Arial" w:hAnsi="Arial" w:cs="Arial"/>
          <w:sz w:val="22"/>
          <w:szCs w:val="22"/>
        </w:rPr>
        <w:t>A discipline-</w:t>
      </w:r>
      <w:r w:rsidR="00DE70F1" w:rsidRPr="00C21BC4">
        <w:rPr>
          <w:rFonts w:ascii="Arial" w:hAnsi="Arial" w:cs="Arial"/>
          <w:sz w:val="22"/>
          <w:szCs w:val="22"/>
        </w:rPr>
        <w:t>specific</w:t>
      </w:r>
      <w:r w:rsidR="00C92393">
        <w:rPr>
          <w:rFonts w:ascii="Arial" w:hAnsi="Arial" w:cs="Arial"/>
          <w:sz w:val="22"/>
          <w:szCs w:val="22"/>
        </w:rPr>
        <w:t xml:space="preserve"> faculty advisor is assigned to</w:t>
      </w:r>
      <w:r w:rsidR="00DE70F1" w:rsidRPr="00C21BC4">
        <w:rPr>
          <w:rFonts w:ascii="Arial" w:hAnsi="Arial" w:cs="Arial"/>
          <w:sz w:val="22"/>
          <w:szCs w:val="22"/>
        </w:rPr>
        <w:t xml:space="preserve"> st</w:t>
      </w:r>
      <w:r w:rsidR="00C56112">
        <w:rPr>
          <w:rFonts w:ascii="Arial" w:hAnsi="Arial" w:cs="Arial"/>
          <w:sz w:val="22"/>
          <w:szCs w:val="22"/>
        </w:rPr>
        <w:t xml:space="preserve">udents with a declared major.  </w:t>
      </w:r>
      <w:r w:rsidR="00DE70F1" w:rsidRPr="00C21BC4">
        <w:rPr>
          <w:rFonts w:ascii="Arial" w:hAnsi="Arial" w:cs="Arial"/>
          <w:sz w:val="22"/>
          <w:szCs w:val="22"/>
        </w:rPr>
        <w:t>Normally</w:t>
      </w:r>
      <w:r>
        <w:rPr>
          <w:rFonts w:ascii="Arial" w:hAnsi="Arial" w:cs="Arial"/>
          <w:sz w:val="22"/>
          <w:szCs w:val="22"/>
        </w:rPr>
        <w:t>,</w:t>
      </w:r>
      <w:r w:rsidR="000E507C">
        <w:rPr>
          <w:rFonts w:ascii="Arial" w:hAnsi="Arial" w:cs="Arial"/>
          <w:sz w:val="22"/>
          <w:szCs w:val="22"/>
        </w:rPr>
        <w:t xml:space="preserve"> this</w:t>
      </w:r>
      <w:r>
        <w:rPr>
          <w:rFonts w:ascii="Arial" w:hAnsi="Arial" w:cs="Arial"/>
          <w:sz w:val="22"/>
          <w:szCs w:val="22"/>
        </w:rPr>
        <w:t xml:space="preserve"> </w:t>
      </w:r>
      <w:r w:rsidR="00DE70F1" w:rsidRPr="00C21BC4">
        <w:rPr>
          <w:rFonts w:ascii="Arial" w:hAnsi="Arial" w:cs="Arial"/>
          <w:sz w:val="22"/>
          <w:szCs w:val="22"/>
        </w:rPr>
        <w:t xml:space="preserve">faculty member will remain the student’s advisor during the entire period that the student is continuously pursing the same degree.  This arrangement </w:t>
      </w:r>
      <w:r>
        <w:rPr>
          <w:rFonts w:ascii="Arial" w:hAnsi="Arial" w:cs="Arial"/>
          <w:sz w:val="22"/>
          <w:szCs w:val="22"/>
        </w:rPr>
        <w:t>develops</w:t>
      </w:r>
      <w:r w:rsidR="00DE70F1" w:rsidRPr="00C21BC4">
        <w:rPr>
          <w:rFonts w:ascii="Arial" w:hAnsi="Arial" w:cs="Arial"/>
          <w:sz w:val="22"/>
          <w:szCs w:val="22"/>
        </w:rPr>
        <w:t xml:space="preserve"> a strong and lasting relationsh</w:t>
      </w:r>
      <w:r>
        <w:rPr>
          <w:rFonts w:ascii="Arial" w:hAnsi="Arial" w:cs="Arial"/>
          <w:sz w:val="22"/>
          <w:szCs w:val="22"/>
        </w:rPr>
        <w:t>ip between the student and</w:t>
      </w:r>
      <w:r w:rsidR="00DE70F1" w:rsidRPr="00C21BC4">
        <w:rPr>
          <w:rFonts w:ascii="Arial" w:hAnsi="Arial" w:cs="Arial"/>
          <w:sz w:val="22"/>
          <w:szCs w:val="22"/>
        </w:rPr>
        <w:t xml:space="preserve"> advisor.  The student is required to meet wi</w:t>
      </w:r>
      <w:r>
        <w:rPr>
          <w:rFonts w:ascii="Arial" w:hAnsi="Arial" w:cs="Arial"/>
          <w:sz w:val="22"/>
          <w:szCs w:val="22"/>
        </w:rPr>
        <w:t>th this advisor at least once</w:t>
      </w:r>
      <w:r w:rsidR="00DE70F1" w:rsidRPr="00C21BC4">
        <w:rPr>
          <w:rFonts w:ascii="Arial" w:hAnsi="Arial" w:cs="Arial"/>
          <w:sz w:val="22"/>
          <w:szCs w:val="22"/>
        </w:rPr>
        <w:t xml:space="preserve"> each semester to pre-register for the next semester’s courses.  During this required visit and perhaps during other visits</w:t>
      </w:r>
      <w:r>
        <w:rPr>
          <w:rFonts w:ascii="Arial" w:hAnsi="Arial" w:cs="Arial"/>
          <w:sz w:val="22"/>
          <w:szCs w:val="22"/>
        </w:rPr>
        <w:t>, the faculty and the student</w:t>
      </w:r>
      <w:r w:rsidR="00DE70F1" w:rsidRPr="00C21BC4">
        <w:rPr>
          <w:rFonts w:ascii="Arial" w:hAnsi="Arial" w:cs="Arial"/>
          <w:sz w:val="22"/>
          <w:szCs w:val="22"/>
        </w:rPr>
        <w:t xml:space="preserve"> discuss the student’s career aspirations and curricula choices.  </w:t>
      </w:r>
      <w:r w:rsidR="00FE42E6" w:rsidRPr="00C21BC4">
        <w:rPr>
          <w:rFonts w:ascii="Arial" w:hAnsi="Arial" w:cs="Arial"/>
          <w:sz w:val="22"/>
          <w:szCs w:val="22"/>
        </w:rPr>
        <w:t>Depending on the discretion of the advisor, an alternate pin number can be made available to students who choose online registration.  These alternate pin numbers change each semester and are only available from the academic advisor.</w:t>
      </w:r>
    </w:p>
    <w:p w:rsidR="00FB2154" w:rsidRPr="00C21BC4" w:rsidRDefault="00FB2154" w:rsidP="001B4D6A">
      <w:pPr>
        <w:rPr>
          <w:rFonts w:ascii="Arial" w:hAnsi="Arial" w:cs="Arial"/>
          <w:sz w:val="22"/>
          <w:szCs w:val="22"/>
        </w:rPr>
      </w:pPr>
    </w:p>
    <w:p w:rsidR="00FB2154" w:rsidRPr="00C21BC4" w:rsidRDefault="00F50EEC" w:rsidP="001B4D6A">
      <w:pPr>
        <w:rPr>
          <w:rFonts w:ascii="Arial" w:hAnsi="Arial" w:cs="Arial"/>
          <w:sz w:val="22"/>
          <w:szCs w:val="22"/>
        </w:rPr>
      </w:pPr>
      <w:r>
        <w:rPr>
          <w:rFonts w:ascii="Arial" w:hAnsi="Arial" w:cs="Arial"/>
          <w:sz w:val="22"/>
          <w:szCs w:val="22"/>
        </w:rPr>
        <w:t>During the four</w:t>
      </w:r>
      <w:r w:rsidR="00FB2154" w:rsidRPr="00C21BC4">
        <w:rPr>
          <w:rFonts w:ascii="Arial" w:hAnsi="Arial" w:cs="Arial"/>
          <w:sz w:val="22"/>
          <w:szCs w:val="22"/>
        </w:rPr>
        <w:t xml:space="preserve"> summer registration events, </w:t>
      </w:r>
      <w:r w:rsidR="00D80660" w:rsidRPr="00730F55">
        <w:rPr>
          <w:rFonts w:ascii="Arial" w:hAnsi="Arial" w:cs="Arial"/>
          <w:sz w:val="22"/>
          <w:szCs w:val="22"/>
        </w:rPr>
        <w:t>volunteer</w:t>
      </w:r>
      <w:r w:rsidR="00D80660" w:rsidRPr="00C21BC4">
        <w:rPr>
          <w:rFonts w:ascii="Arial" w:hAnsi="Arial" w:cs="Arial"/>
          <w:sz w:val="22"/>
          <w:szCs w:val="22"/>
        </w:rPr>
        <w:t xml:space="preserve"> </w:t>
      </w:r>
      <w:r w:rsidR="001C5520">
        <w:rPr>
          <w:rFonts w:ascii="Arial" w:hAnsi="Arial" w:cs="Arial"/>
          <w:sz w:val="22"/>
          <w:szCs w:val="22"/>
        </w:rPr>
        <w:t>faculty advise and guide the Enrollment Services O</w:t>
      </w:r>
      <w:r w:rsidR="00FB2154" w:rsidRPr="00C21BC4">
        <w:rPr>
          <w:rFonts w:ascii="Arial" w:hAnsi="Arial" w:cs="Arial"/>
          <w:sz w:val="22"/>
          <w:szCs w:val="22"/>
        </w:rPr>
        <w:t>ffice in managing the new student registration process.  Special care is made to ensure proper math and English placement</w:t>
      </w:r>
      <w:r w:rsidR="00D520E0">
        <w:rPr>
          <w:rFonts w:ascii="Arial" w:hAnsi="Arial" w:cs="Arial"/>
          <w:sz w:val="22"/>
          <w:szCs w:val="22"/>
        </w:rPr>
        <w:t xml:space="preserve"> of each student, based on</w:t>
      </w:r>
      <w:r w:rsidR="00FB2154" w:rsidRPr="00C21BC4">
        <w:rPr>
          <w:rFonts w:ascii="Arial" w:hAnsi="Arial" w:cs="Arial"/>
          <w:sz w:val="22"/>
          <w:szCs w:val="22"/>
        </w:rPr>
        <w:t xml:space="preserve"> ACT, SAT</w:t>
      </w:r>
      <w:r w:rsidR="00D520E0">
        <w:rPr>
          <w:rFonts w:ascii="Arial" w:hAnsi="Arial" w:cs="Arial"/>
          <w:sz w:val="22"/>
          <w:szCs w:val="22"/>
        </w:rPr>
        <w:t>,</w:t>
      </w:r>
      <w:r w:rsidR="005B0C78">
        <w:rPr>
          <w:rFonts w:ascii="Arial" w:hAnsi="Arial" w:cs="Arial"/>
          <w:sz w:val="22"/>
          <w:szCs w:val="22"/>
        </w:rPr>
        <w:t xml:space="preserve"> or C</w:t>
      </w:r>
      <w:r w:rsidR="00FB2154" w:rsidRPr="00C21BC4">
        <w:rPr>
          <w:rFonts w:ascii="Arial" w:hAnsi="Arial" w:cs="Arial"/>
          <w:sz w:val="22"/>
          <w:szCs w:val="22"/>
        </w:rPr>
        <w:t xml:space="preserve">ompass test scores.  Additionally, students are advised to take (almost exclusively) classes that will count directly toward graduation.  Students then connect with their individual advisor </w:t>
      </w:r>
      <w:r w:rsidR="00C56112">
        <w:rPr>
          <w:rFonts w:ascii="Arial" w:hAnsi="Arial" w:cs="Arial"/>
          <w:sz w:val="22"/>
          <w:szCs w:val="22"/>
        </w:rPr>
        <w:t>during the F</w:t>
      </w:r>
      <w:r w:rsidR="00FB2154" w:rsidRPr="00C21BC4">
        <w:rPr>
          <w:rFonts w:ascii="Arial" w:hAnsi="Arial" w:cs="Arial"/>
          <w:sz w:val="22"/>
          <w:szCs w:val="22"/>
        </w:rPr>
        <w:t>all orientation departmental meetings.</w:t>
      </w:r>
    </w:p>
    <w:p w:rsidR="00FE42E6" w:rsidRPr="00731C71" w:rsidRDefault="00FE42E6" w:rsidP="001B4D6A">
      <w:pPr>
        <w:rPr>
          <w:rFonts w:ascii="Arial" w:hAnsi="Arial" w:cs="Arial"/>
          <w:sz w:val="22"/>
          <w:szCs w:val="22"/>
        </w:rPr>
      </w:pPr>
    </w:p>
    <w:p w:rsidR="00212730" w:rsidRDefault="009A392B" w:rsidP="001B4D6A">
      <w:pPr>
        <w:rPr>
          <w:rFonts w:ascii="Arial" w:hAnsi="Arial" w:cs="Arial"/>
          <w:b/>
          <w:sz w:val="22"/>
          <w:szCs w:val="22"/>
        </w:rPr>
      </w:pPr>
      <w:r>
        <w:rPr>
          <w:rFonts w:ascii="Arial" w:hAnsi="Arial" w:cs="Arial"/>
          <w:b/>
          <w:sz w:val="22"/>
          <w:szCs w:val="22"/>
        </w:rPr>
        <w:t>3.D.11</w:t>
      </w:r>
      <w:r>
        <w:rPr>
          <w:rFonts w:ascii="Arial" w:hAnsi="Arial" w:cs="Arial"/>
          <w:b/>
          <w:sz w:val="22"/>
          <w:szCs w:val="22"/>
        </w:rPr>
        <w:tab/>
      </w:r>
      <w:r w:rsidR="001C5520">
        <w:rPr>
          <w:rFonts w:ascii="Arial" w:hAnsi="Arial" w:cs="Arial"/>
          <w:b/>
          <w:sz w:val="22"/>
          <w:szCs w:val="22"/>
        </w:rPr>
        <w:t>Career c</w:t>
      </w:r>
      <w:r w:rsidR="004D2808">
        <w:rPr>
          <w:rFonts w:ascii="Arial" w:hAnsi="Arial" w:cs="Arial"/>
          <w:b/>
          <w:sz w:val="22"/>
          <w:szCs w:val="22"/>
        </w:rPr>
        <w:t xml:space="preserve">ounseling and placement services are consistent with student needs and institutional mission. </w:t>
      </w:r>
    </w:p>
    <w:p w:rsidR="00510B0B" w:rsidRDefault="00510B0B" w:rsidP="001B4D6A">
      <w:pPr>
        <w:rPr>
          <w:rFonts w:ascii="Arial" w:hAnsi="Arial" w:cs="Arial"/>
          <w:sz w:val="22"/>
          <w:szCs w:val="22"/>
        </w:rPr>
      </w:pPr>
    </w:p>
    <w:p w:rsidR="00510B0B" w:rsidRDefault="00510B0B" w:rsidP="001B4D6A">
      <w:pPr>
        <w:rPr>
          <w:rFonts w:ascii="Arial" w:hAnsi="Arial" w:cs="Arial"/>
          <w:sz w:val="22"/>
          <w:szCs w:val="22"/>
        </w:rPr>
      </w:pPr>
      <w:r w:rsidRPr="00A8751B">
        <w:rPr>
          <w:rFonts w:ascii="Arial" w:hAnsi="Arial" w:cs="Arial"/>
          <w:sz w:val="22"/>
          <w:szCs w:val="22"/>
        </w:rPr>
        <w:t>The mission of Career Services is to serve Montana Tech students, alumni, and employers by assisting students and alumni with career exploration, preparation, implementation</w:t>
      </w:r>
      <w:r w:rsidR="00D520E0">
        <w:rPr>
          <w:rFonts w:ascii="Arial" w:hAnsi="Arial" w:cs="Arial"/>
          <w:sz w:val="22"/>
          <w:szCs w:val="22"/>
        </w:rPr>
        <w:t>, and management</w:t>
      </w:r>
      <w:r w:rsidRPr="00A8751B">
        <w:rPr>
          <w:rFonts w:ascii="Arial" w:hAnsi="Arial" w:cs="Arial"/>
          <w:sz w:val="22"/>
          <w:szCs w:val="22"/>
        </w:rPr>
        <w:t xml:space="preserve"> and </w:t>
      </w:r>
      <w:r w:rsidR="00D520E0">
        <w:rPr>
          <w:rFonts w:ascii="Arial" w:hAnsi="Arial" w:cs="Arial"/>
          <w:sz w:val="22"/>
          <w:szCs w:val="22"/>
        </w:rPr>
        <w:t xml:space="preserve">also by </w:t>
      </w:r>
      <w:r w:rsidRPr="00A8751B">
        <w:rPr>
          <w:rFonts w:ascii="Arial" w:hAnsi="Arial" w:cs="Arial"/>
          <w:sz w:val="22"/>
          <w:szCs w:val="22"/>
        </w:rPr>
        <w:t xml:space="preserve">assisting employers in connecting with students, alumni, faculty, and </w:t>
      </w:r>
      <w:r w:rsidRPr="00A8751B">
        <w:rPr>
          <w:rFonts w:ascii="Arial" w:hAnsi="Arial" w:cs="Arial"/>
          <w:sz w:val="22"/>
          <w:szCs w:val="22"/>
        </w:rPr>
        <w:lastRenderedPageBreak/>
        <w:t xml:space="preserve">administration. The office works with all levels of students, from incoming freshmen to graduate students, as well as </w:t>
      </w:r>
      <w:r w:rsidR="00D520E0">
        <w:rPr>
          <w:rFonts w:ascii="Arial" w:hAnsi="Arial" w:cs="Arial"/>
          <w:sz w:val="22"/>
          <w:szCs w:val="22"/>
        </w:rPr>
        <w:t>with alumni to help students</w:t>
      </w:r>
      <w:r w:rsidRPr="00A8751B">
        <w:rPr>
          <w:rFonts w:ascii="Arial" w:hAnsi="Arial" w:cs="Arial"/>
          <w:sz w:val="22"/>
          <w:szCs w:val="22"/>
        </w:rPr>
        <w:t xml:space="preserve"> achieve their career goals. </w:t>
      </w:r>
    </w:p>
    <w:p w:rsidR="00291046" w:rsidRPr="00A8751B" w:rsidRDefault="00291046" w:rsidP="001B4D6A">
      <w:pPr>
        <w:rPr>
          <w:rFonts w:ascii="Arial" w:hAnsi="Arial" w:cs="Arial"/>
          <w:sz w:val="22"/>
          <w:szCs w:val="22"/>
        </w:rPr>
      </w:pPr>
    </w:p>
    <w:p w:rsidR="00510B0B" w:rsidRDefault="00510B0B" w:rsidP="001B4D6A">
      <w:pPr>
        <w:rPr>
          <w:rFonts w:ascii="Arial" w:hAnsi="Arial" w:cs="Arial"/>
          <w:sz w:val="22"/>
          <w:szCs w:val="22"/>
          <w:highlight w:val="yellow"/>
        </w:rPr>
      </w:pPr>
    </w:p>
    <w:p w:rsidR="00291046" w:rsidRPr="005B0C78" w:rsidRDefault="00291046" w:rsidP="001B4D6A">
      <w:pPr>
        <w:shd w:val="clear" w:color="auto" w:fill="FFFFFF" w:themeFill="background1"/>
        <w:jc w:val="center"/>
        <w:rPr>
          <w:rFonts w:ascii="Arial" w:hAnsi="Arial" w:cs="Arial"/>
          <w:b/>
          <w:sz w:val="22"/>
          <w:szCs w:val="22"/>
        </w:rPr>
      </w:pPr>
      <w:r w:rsidRPr="005B0C78">
        <w:rPr>
          <w:rFonts w:ascii="Arial" w:hAnsi="Arial" w:cs="Arial"/>
          <w:b/>
          <w:sz w:val="22"/>
          <w:szCs w:val="22"/>
        </w:rPr>
        <w:t>Closing the Loop</w:t>
      </w:r>
    </w:p>
    <w:p w:rsidR="00291046" w:rsidRPr="005B0C78" w:rsidRDefault="001C5520" w:rsidP="001B4D6A">
      <w:pPr>
        <w:shd w:val="clear" w:color="auto" w:fill="FFFFFF" w:themeFill="background1"/>
        <w:jc w:val="center"/>
        <w:rPr>
          <w:rFonts w:ascii="Arial" w:hAnsi="Arial" w:cs="Arial"/>
          <w:b/>
          <w:sz w:val="22"/>
          <w:szCs w:val="22"/>
        </w:rPr>
      </w:pPr>
      <w:r w:rsidRPr="005B0C78">
        <w:rPr>
          <w:rFonts w:ascii="Arial" w:hAnsi="Arial" w:cs="Arial"/>
          <w:b/>
          <w:sz w:val="22"/>
          <w:szCs w:val="22"/>
        </w:rPr>
        <w:t>Finding the Right</w:t>
      </w:r>
      <w:r w:rsidR="00291046" w:rsidRPr="005B0C78">
        <w:rPr>
          <w:rFonts w:ascii="Arial" w:hAnsi="Arial" w:cs="Arial"/>
          <w:b/>
          <w:sz w:val="22"/>
          <w:szCs w:val="22"/>
        </w:rPr>
        <w:t xml:space="preserve"> Major</w:t>
      </w:r>
    </w:p>
    <w:p w:rsidR="00291046" w:rsidRDefault="00291046" w:rsidP="001B4D6A">
      <w:pPr>
        <w:shd w:val="clear" w:color="auto" w:fill="FFFFFF" w:themeFill="background1"/>
        <w:rPr>
          <w:rFonts w:ascii="Arial" w:hAnsi="Arial" w:cs="Arial"/>
          <w:bCs/>
          <w:i/>
          <w:sz w:val="22"/>
          <w:szCs w:val="22"/>
        </w:rPr>
      </w:pPr>
    </w:p>
    <w:p w:rsidR="00291046" w:rsidRPr="00AF3E3F" w:rsidRDefault="00E21B15" w:rsidP="001B4D6A">
      <w:pPr>
        <w:shd w:val="clear" w:color="auto" w:fill="FFFFFF" w:themeFill="background1"/>
        <w:rPr>
          <w:rFonts w:ascii="Arial" w:hAnsi="Arial" w:cs="Arial"/>
          <w:bCs/>
          <w:sz w:val="22"/>
          <w:szCs w:val="22"/>
        </w:rPr>
      </w:pPr>
      <w:r>
        <w:rPr>
          <w:rFonts w:ascii="Arial" w:hAnsi="Arial" w:cs="Arial"/>
          <w:bCs/>
          <w:noProof/>
          <w:sz w:val="22"/>
          <w:szCs w:val="22"/>
          <w:lang w:eastAsia="en-US"/>
        </w:rPr>
        <w:pict>
          <v:roundrect id="_x0000_s1055" style="position:absolute;margin-left:-13.5pt;margin-top:-49.7pt;width:488.4pt;height:115.8pt;z-index:251730432" arcsize="10923f" fillcolor="#bfbfbf">
            <v:fill opacity="19661f"/>
          </v:roundrect>
        </w:pict>
      </w:r>
      <w:r w:rsidR="00D520E0">
        <w:rPr>
          <w:rFonts w:ascii="Arial" w:hAnsi="Arial" w:cs="Arial"/>
          <w:bCs/>
          <w:sz w:val="22"/>
          <w:szCs w:val="22"/>
        </w:rPr>
        <w:t>At registration activities i</w:t>
      </w:r>
      <w:r w:rsidR="001C5520">
        <w:rPr>
          <w:rFonts w:ascii="Arial" w:hAnsi="Arial" w:cs="Arial"/>
          <w:bCs/>
          <w:sz w:val="22"/>
          <w:szCs w:val="22"/>
        </w:rPr>
        <w:t xml:space="preserve">n the </w:t>
      </w:r>
      <w:r w:rsidR="00931015">
        <w:rPr>
          <w:rFonts w:ascii="Arial" w:hAnsi="Arial" w:cs="Arial"/>
          <w:bCs/>
          <w:sz w:val="22"/>
          <w:szCs w:val="22"/>
        </w:rPr>
        <w:t>S</w:t>
      </w:r>
      <w:r w:rsidR="00DA04D6" w:rsidRPr="00AF3E3F">
        <w:rPr>
          <w:rFonts w:ascii="Arial" w:hAnsi="Arial" w:cs="Arial"/>
          <w:bCs/>
          <w:sz w:val="22"/>
          <w:szCs w:val="22"/>
        </w:rPr>
        <w:t>ummer</w:t>
      </w:r>
      <w:r w:rsidR="00DA04D6">
        <w:rPr>
          <w:rFonts w:ascii="Arial" w:hAnsi="Arial" w:cs="Arial"/>
          <w:bCs/>
          <w:sz w:val="22"/>
          <w:szCs w:val="22"/>
        </w:rPr>
        <w:t xml:space="preserve"> of</w:t>
      </w:r>
      <w:r w:rsidR="00291046" w:rsidRPr="00AF3E3F">
        <w:rPr>
          <w:rFonts w:ascii="Arial" w:hAnsi="Arial" w:cs="Arial"/>
          <w:bCs/>
          <w:sz w:val="22"/>
          <w:szCs w:val="22"/>
        </w:rPr>
        <w:t xml:space="preserve"> 2008</w:t>
      </w:r>
      <w:r w:rsidR="001C5520">
        <w:rPr>
          <w:rFonts w:ascii="Arial" w:hAnsi="Arial" w:cs="Arial"/>
          <w:bCs/>
          <w:sz w:val="22"/>
          <w:szCs w:val="22"/>
        </w:rPr>
        <w:t>,</w:t>
      </w:r>
      <w:r w:rsidR="00291046" w:rsidRPr="00AF3E3F">
        <w:rPr>
          <w:rFonts w:ascii="Arial" w:hAnsi="Arial" w:cs="Arial"/>
          <w:bCs/>
          <w:sz w:val="22"/>
          <w:szCs w:val="22"/>
        </w:rPr>
        <w:t xml:space="preserve"> </w:t>
      </w:r>
      <w:r w:rsidR="00DA04D6">
        <w:rPr>
          <w:rFonts w:ascii="Arial" w:hAnsi="Arial" w:cs="Arial"/>
          <w:bCs/>
          <w:sz w:val="22"/>
          <w:szCs w:val="22"/>
        </w:rPr>
        <w:t>parents expressed concern about a s</w:t>
      </w:r>
      <w:r w:rsidR="001C5520">
        <w:rPr>
          <w:rFonts w:ascii="Arial" w:hAnsi="Arial" w:cs="Arial"/>
          <w:bCs/>
          <w:sz w:val="22"/>
          <w:szCs w:val="22"/>
        </w:rPr>
        <w:t>tudent</w:t>
      </w:r>
      <w:r w:rsidR="00DA04D6">
        <w:rPr>
          <w:rFonts w:ascii="Arial" w:hAnsi="Arial" w:cs="Arial"/>
          <w:bCs/>
          <w:sz w:val="22"/>
          <w:szCs w:val="22"/>
        </w:rPr>
        <w:t>’</w:t>
      </w:r>
      <w:r w:rsidR="001C5520">
        <w:rPr>
          <w:rFonts w:ascii="Arial" w:hAnsi="Arial" w:cs="Arial"/>
          <w:bCs/>
          <w:sz w:val="22"/>
          <w:szCs w:val="22"/>
        </w:rPr>
        <w:t>s ability to choose</w:t>
      </w:r>
      <w:r w:rsidR="00DA04D6">
        <w:rPr>
          <w:rFonts w:ascii="Arial" w:hAnsi="Arial" w:cs="Arial"/>
          <w:bCs/>
          <w:sz w:val="22"/>
          <w:szCs w:val="22"/>
        </w:rPr>
        <w:t xml:space="preserve"> and/or change a</w:t>
      </w:r>
      <w:r w:rsidR="00291046" w:rsidRPr="00AF3E3F">
        <w:rPr>
          <w:rFonts w:ascii="Arial" w:hAnsi="Arial" w:cs="Arial"/>
          <w:bCs/>
          <w:sz w:val="22"/>
          <w:szCs w:val="22"/>
        </w:rPr>
        <w:t xml:space="preserve"> major while at </w:t>
      </w:r>
      <w:r w:rsidR="001C5520">
        <w:rPr>
          <w:rFonts w:ascii="Arial" w:hAnsi="Arial" w:cs="Arial"/>
          <w:bCs/>
          <w:sz w:val="22"/>
          <w:szCs w:val="22"/>
        </w:rPr>
        <w:t>Tech</w:t>
      </w:r>
      <w:r w:rsidR="00291046" w:rsidRPr="00AF3E3F">
        <w:rPr>
          <w:rFonts w:ascii="Arial" w:hAnsi="Arial" w:cs="Arial"/>
          <w:bCs/>
          <w:sz w:val="22"/>
          <w:szCs w:val="22"/>
        </w:rPr>
        <w:t>.  Cons</w:t>
      </w:r>
      <w:r w:rsidR="00DA04D6">
        <w:rPr>
          <w:rFonts w:ascii="Arial" w:hAnsi="Arial" w:cs="Arial"/>
          <w:bCs/>
          <w:sz w:val="22"/>
          <w:szCs w:val="22"/>
        </w:rPr>
        <w:t>equently, the Student Services staff developed Major</w:t>
      </w:r>
      <w:r w:rsidR="00291046" w:rsidRPr="00AF3E3F">
        <w:rPr>
          <w:rFonts w:ascii="Arial" w:hAnsi="Arial" w:cs="Arial"/>
          <w:bCs/>
          <w:sz w:val="22"/>
          <w:szCs w:val="22"/>
        </w:rPr>
        <w:t xml:space="preserve"> Exploration Workshops to help align students with their education</w:t>
      </w:r>
      <w:r w:rsidR="00DA04D6">
        <w:rPr>
          <w:rFonts w:ascii="Arial" w:hAnsi="Arial" w:cs="Arial"/>
          <w:bCs/>
          <w:sz w:val="22"/>
          <w:szCs w:val="22"/>
        </w:rPr>
        <w:t>al and career goals.  The Major</w:t>
      </w:r>
      <w:r w:rsidR="00291046" w:rsidRPr="00AF3E3F">
        <w:rPr>
          <w:rFonts w:ascii="Arial" w:hAnsi="Arial" w:cs="Arial"/>
          <w:bCs/>
          <w:sz w:val="22"/>
          <w:szCs w:val="22"/>
        </w:rPr>
        <w:t xml:space="preserve"> Explorati</w:t>
      </w:r>
      <w:r w:rsidR="00DA04D6">
        <w:rPr>
          <w:rFonts w:ascii="Arial" w:hAnsi="Arial" w:cs="Arial"/>
          <w:bCs/>
          <w:sz w:val="22"/>
          <w:szCs w:val="22"/>
        </w:rPr>
        <w:t>on Workshops are now part of</w:t>
      </w:r>
      <w:r w:rsidR="00291046" w:rsidRPr="00AF3E3F">
        <w:rPr>
          <w:rFonts w:ascii="Arial" w:hAnsi="Arial" w:cs="Arial"/>
          <w:bCs/>
          <w:sz w:val="22"/>
          <w:szCs w:val="22"/>
        </w:rPr>
        <w:t xml:space="preserve"> ongoing programs offered each semester. </w:t>
      </w:r>
      <w:r w:rsidR="00291046" w:rsidRPr="004C28E3">
        <w:rPr>
          <w:rFonts w:ascii="Arial" w:hAnsi="Arial" w:cs="Arial"/>
          <w:bCs/>
          <w:sz w:val="22"/>
          <w:szCs w:val="22"/>
        </w:rPr>
        <w:t>(</w:t>
      </w:r>
      <w:r w:rsidR="00DA04D6" w:rsidRPr="004C28E3">
        <w:rPr>
          <w:rFonts w:ascii="Arial" w:hAnsi="Arial" w:cs="Arial"/>
          <w:bCs/>
          <w:sz w:val="22"/>
          <w:szCs w:val="22"/>
        </w:rPr>
        <w:t xml:space="preserve">See </w:t>
      </w:r>
      <w:r w:rsidR="00832B16" w:rsidRPr="004C28E3">
        <w:rPr>
          <w:rFonts w:ascii="Arial" w:hAnsi="Arial" w:cs="Arial"/>
          <w:bCs/>
          <w:sz w:val="22"/>
          <w:szCs w:val="22"/>
        </w:rPr>
        <w:t>Exhibit 3.D.V</w:t>
      </w:r>
      <w:r w:rsidR="005B70BE" w:rsidRPr="004C28E3">
        <w:rPr>
          <w:rFonts w:ascii="Arial" w:hAnsi="Arial" w:cs="Arial"/>
          <w:bCs/>
          <w:sz w:val="22"/>
          <w:szCs w:val="22"/>
        </w:rPr>
        <w:t>I</w:t>
      </w:r>
      <w:r w:rsidR="00DA04D6" w:rsidRPr="004C28E3">
        <w:rPr>
          <w:rFonts w:ascii="Arial" w:hAnsi="Arial" w:cs="Arial"/>
          <w:bCs/>
          <w:sz w:val="22"/>
          <w:szCs w:val="22"/>
        </w:rPr>
        <w:t>:</w:t>
      </w:r>
      <w:r w:rsidR="00291046" w:rsidRPr="004C28E3">
        <w:rPr>
          <w:rFonts w:ascii="Arial" w:hAnsi="Arial" w:cs="Arial"/>
          <w:bCs/>
          <w:sz w:val="22"/>
          <w:szCs w:val="22"/>
        </w:rPr>
        <w:t xml:space="preserve"> </w:t>
      </w:r>
      <w:hyperlink r:id="rId58" w:history="1">
        <w:r w:rsidR="00291046" w:rsidRPr="00385334">
          <w:rPr>
            <w:rStyle w:val="Hyperlink"/>
            <w:rFonts w:ascii="Arial" w:hAnsi="Arial" w:cs="Arial"/>
            <w:bCs/>
            <w:i/>
            <w:sz w:val="22"/>
            <w:szCs w:val="22"/>
          </w:rPr>
          <w:t>Major Exploration Brochure</w:t>
        </w:r>
      </w:hyperlink>
      <w:r w:rsidR="00DA04D6" w:rsidRPr="00385334">
        <w:rPr>
          <w:rFonts w:ascii="Arial" w:hAnsi="Arial" w:cs="Arial"/>
          <w:bCs/>
          <w:color w:val="0033CC"/>
          <w:sz w:val="22"/>
          <w:szCs w:val="22"/>
        </w:rPr>
        <w:t>.</w:t>
      </w:r>
      <w:r w:rsidR="00291046" w:rsidRPr="00385334">
        <w:rPr>
          <w:rFonts w:ascii="Arial" w:hAnsi="Arial" w:cs="Arial"/>
          <w:bCs/>
          <w:sz w:val="22"/>
          <w:szCs w:val="22"/>
        </w:rPr>
        <w:t>)</w:t>
      </w:r>
    </w:p>
    <w:p w:rsidR="008C5C8F" w:rsidRDefault="008C5C8F" w:rsidP="001B4D6A">
      <w:pPr>
        <w:rPr>
          <w:rFonts w:ascii="Arial" w:hAnsi="Arial" w:cs="Arial"/>
          <w:sz w:val="22"/>
          <w:szCs w:val="22"/>
          <w:highlight w:val="yellow"/>
        </w:rPr>
      </w:pPr>
    </w:p>
    <w:p w:rsidR="008930F8" w:rsidRDefault="008930F8" w:rsidP="001B4D6A">
      <w:pPr>
        <w:rPr>
          <w:rFonts w:ascii="Arial" w:hAnsi="Arial" w:cs="Arial"/>
          <w:sz w:val="22"/>
          <w:szCs w:val="22"/>
        </w:rPr>
      </w:pPr>
    </w:p>
    <w:p w:rsidR="00C31353" w:rsidRDefault="00510B0B" w:rsidP="001B4D6A">
      <w:pPr>
        <w:rPr>
          <w:rFonts w:ascii="Arial" w:hAnsi="Arial" w:cs="Arial"/>
          <w:sz w:val="22"/>
          <w:szCs w:val="22"/>
        </w:rPr>
      </w:pPr>
      <w:r w:rsidRPr="00A8751B">
        <w:rPr>
          <w:rFonts w:ascii="Arial" w:hAnsi="Arial" w:cs="Arial"/>
          <w:sz w:val="22"/>
          <w:szCs w:val="22"/>
        </w:rPr>
        <w:t xml:space="preserve">Career Services recognizes the value of developing </w:t>
      </w:r>
      <w:r w:rsidR="00DA04D6">
        <w:rPr>
          <w:rFonts w:ascii="Arial" w:hAnsi="Arial" w:cs="Arial"/>
          <w:sz w:val="22"/>
          <w:szCs w:val="22"/>
        </w:rPr>
        <w:t>relationships with employers by inviting companies on campus to connect</w:t>
      </w:r>
      <w:r w:rsidRPr="00A8751B">
        <w:rPr>
          <w:rFonts w:ascii="Arial" w:hAnsi="Arial" w:cs="Arial"/>
          <w:sz w:val="22"/>
          <w:szCs w:val="22"/>
        </w:rPr>
        <w:t xml:space="preserve"> with stu</w:t>
      </w:r>
      <w:r w:rsidR="001C5520">
        <w:rPr>
          <w:rFonts w:ascii="Arial" w:hAnsi="Arial" w:cs="Arial"/>
          <w:sz w:val="22"/>
          <w:szCs w:val="22"/>
        </w:rPr>
        <w:t>dents. The first Career Fair took place in F</w:t>
      </w:r>
      <w:r w:rsidRPr="00A8751B">
        <w:rPr>
          <w:rFonts w:ascii="Arial" w:hAnsi="Arial" w:cs="Arial"/>
          <w:sz w:val="22"/>
          <w:szCs w:val="22"/>
        </w:rPr>
        <w:t xml:space="preserve">all 2000 with 48 employers and 627 students attending. </w:t>
      </w:r>
      <w:r w:rsidR="000E507C">
        <w:rPr>
          <w:rFonts w:ascii="Arial" w:hAnsi="Arial" w:cs="Arial"/>
          <w:sz w:val="22"/>
          <w:szCs w:val="22"/>
        </w:rPr>
        <w:t>D</w:t>
      </w:r>
      <w:r w:rsidRPr="00A8751B">
        <w:rPr>
          <w:rFonts w:ascii="Arial" w:hAnsi="Arial" w:cs="Arial"/>
          <w:sz w:val="22"/>
          <w:szCs w:val="22"/>
        </w:rPr>
        <w:t xml:space="preserve">uring the Fall 2008 Career Fair, employer participation reached an all-time high of 115 employers attending. </w:t>
      </w:r>
      <w:r w:rsidR="000E507C">
        <w:rPr>
          <w:rFonts w:ascii="Arial" w:hAnsi="Arial" w:cs="Arial"/>
          <w:sz w:val="22"/>
          <w:szCs w:val="22"/>
        </w:rPr>
        <w:t xml:space="preserve">In the </w:t>
      </w:r>
      <w:r w:rsidRPr="00A8751B">
        <w:rPr>
          <w:rFonts w:ascii="Arial" w:hAnsi="Arial" w:cs="Arial"/>
          <w:sz w:val="22"/>
          <w:szCs w:val="22"/>
        </w:rPr>
        <w:t xml:space="preserve">Spring </w:t>
      </w:r>
      <w:r w:rsidR="000E507C">
        <w:rPr>
          <w:rFonts w:ascii="Arial" w:hAnsi="Arial" w:cs="Arial"/>
          <w:sz w:val="22"/>
          <w:szCs w:val="22"/>
        </w:rPr>
        <w:t xml:space="preserve">of </w:t>
      </w:r>
      <w:r w:rsidRPr="00A8751B">
        <w:rPr>
          <w:rFonts w:ascii="Arial" w:hAnsi="Arial" w:cs="Arial"/>
          <w:sz w:val="22"/>
          <w:szCs w:val="22"/>
        </w:rPr>
        <w:t>2008, Career Services sponsored the 1</w:t>
      </w:r>
      <w:r w:rsidRPr="00A8751B">
        <w:rPr>
          <w:rFonts w:ascii="Arial" w:hAnsi="Arial" w:cs="Arial"/>
          <w:sz w:val="22"/>
          <w:szCs w:val="22"/>
          <w:vertAlign w:val="superscript"/>
        </w:rPr>
        <w:t>st</w:t>
      </w:r>
      <w:r w:rsidRPr="00A8751B">
        <w:rPr>
          <w:rFonts w:ascii="Arial" w:hAnsi="Arial" w:cs="Arial"/>
          <w:sz w:val="22"/>
          <w:szCs w:val="22"/>
        </w:rPr>
        <w:t xml:space="preserve"> annual CareerSmart Fair to promote employers hiring</w:t>
      </w:r>
      <w:r w:rsidRPr="00A8751B">
        <w:rPr>
          <w:rFonts w:ascii="Arial" w:hAnsi="Arial" w:cs="Arial"/>
          <w:color w:val="0000CC"/>
          <w:sz w:val="22"/>
          <w:szCs w:val="22"/>
        </w:rPr>
        <w:t xml:space="preserve"> </w:t>
      </w:r>
      <w:r w:rsidRPr="00A8751B">
        <w:rPr>
          <w:rFonts w:ascii="Arial" w:hAnsi="Arial" w:cs="Arial"/>
          <w:sz w:val="22"/>
          <w:szCs w:val="22"/>
        </w:rPr>
        <w:t>in</w:t>
      </w:r>
      <w:r w:rsidRPr="00A8751B">
        <w:rPr>
          <w:rFonts w:ascii="Arial" w:hAnsi="Arial" w:cs="Arial"/>
          <w:color w:val="0000CC"/>
          <w:sz w:val="22"/>
          <w:szCs w:val="22"/>
        </w:rPr>
        <w:t xml:space="preserve"> </w:t>
      </w:r>
      <w:r w:rsidRPr="00A8751B">
        <w:rPr>
          <w:rFonts w:ascii="Arial" w:hAnsi="Arial" w:cs="Arial"/>
          <w:sz w:val="22"/>
          <w:szCs w:val="22"/>
        </w:rPr>
        <w:t xml:space="preserve">healthcare, business, </w:t>
      </w:r>
      <w:r w:rsidR="00DA04D6">
        <w:rPr>
          <w:rFonts w:ascii="Arial" w:hAnsi="Arial" w:cs="Arial"/>
          <w:sz w:val="22"/>
          <w:szCs w:val="22"/>
        </w:rPr>
        <w:t xml:space="preserve">in </w:t>
      </w:r>
      <w:r w:rsidRPr="00A8751B">
        <w:rPr>
          <w:rFonts w:ascii="Arial" w:hAnsi="Arial" w:cs="Arial"/>
          <w:sz w:val="22"/>
          <w:szCs w:val="22"/>
        </w:rPr>
        <w:t>sciences, professional studies</w:t>
      </w:r>
      <w:r w:rsidR="00DA04D6">
        <w:rPr>
          <w:rFonts w:ascii="Arial" w:hAnsi="Arial" w:cs="Arial"/>
          <w:sz w:val="22"/>
          <w:szCs w:val="22"/>
        </w:rPr>
        <w:t>,</w:t>
      </w:r>
      <w:r w:rsidRPr="00A8751B">
        <w:rPr>
          <w:rFonts w:ascii="Arial" w:hAnsi="Arial" w:cs="Arial"/>
          <w:sz w:val="22"/>
          <w:szCs w:val="22"/>
        </w:rPr>
        <w:t xml:space="preserve"> and </w:t>
      </w:r>
      <w:r w:rsidR="00DA04D6">
        <w:rPr>
          <w:rFonts w:ascii="Arial" w:hAnsi="Arial" w:cs="Arial"/>
          <w:sz w:val="22"/>
          <w:szCs w:val="22"/>
        </w:rPr>
        <w:t xml:space="preserve">in </w:t>
      </w:r>
      <w:r w:rsidR="00C92393">
        <w:rPr>
          <w:rFonts w:ascii="Arial" w:hAnsi="Arial" w:cs="Arial"/>
          <w:sz w:val="22"/>
          <w:szCs w:val="22"/>
        </w:rPr>
        <w:t>the technology and trade</w:t>
      </w:r>
      <w:r w:rsidRPr="00A8751B">
        <w:rPr>
          <w:rFonts w:ascii="Arial" w:hAnsi="Arial" w:cs="Arial"/>
          <w:sz w:val="22"/>
          <w:szCs w:val="22"/>
        </w:rPr>
        <w:t xml:space="preserve"> degrees. Thirty-one employers attended the inaugural event, with nearly 400 students attending. The </w:t>
      </w:r>
      <w:r w:rsidR="001C5520">
        <w:rPr>
          <w:rFonts w:ascii="Arial" w:hAnsi="Arial" w:cs="Arial"/>
          <w:sz w:val="22"/>
          <w:szCs w:val="22"/>
        </w:rPr>
        <w:t>growth experienced through the Career F</w:t>
      </w:r>
      <w:r w:rsidRPr="00A8751B">
        <w:rPr>
          <w:rFonts w:ascii="Arial" w:hAnsi="Arial" w:cs="Arial"/>
          <w:sz w:val="22"/>
          <w:szCs w:val="22"/>
        </w:rPr>
        <w:t xml:space="preserve">airs is </w:t>
      </w:r>
      <w:r w:rsidR="00C31353">
        <w:rPr>
          <w:rFonts w:ascii="Arial" w:hAnsi="Arial" w:cs="Arial"/>
          <w:sz w:val="22"/>
          <w:szCs w:val="22"/>
        </w:rPr>
        <w:t xml:space="preserve">highlighted in </w:t>
      </w:r>
      <w:r w:rsidR="00DA04D6">
        <w:rPr>
          <w:rFonts w:ascii="Arial" w:hAnsi="Arial" w:cs="Arial"/>
          <w:sz w:val="22"/>
          <w:szCs w:val="22"/>
        </w:rPr>
        <w:t>Figure</w:t>
      </w:r>
      <w:r w:rsidR="00444C61">
        <w:rPr>
          <w:rFonts w:ascii="Arial" w:hAnsi="Arial" w:cs="Arial"/>
          <w:sz w:val="22"/>
          <w:szCs w:val="22"/>
        </w:rPr>
        <w:t xml:space="preserve"> 3.D.5</w:t>
      </w:r>
      <w:r w:rsidRPr="00A8751B">
        <w:rPr>
          <w:rFonts w:ascii="Arial" w:hAnsi="Arial" w:cs="Arial"/>
          <w:sz w:val="22"/>
          <w:szCs w:val="22"/>
        </w:rPr>
        <w:t xml:space="preserve">. </w:t>
      </w:r>
    </w:p>
    <w:p w:rsidR="00C31353" w:rsidRDefault="00C31353" w:rsidP="001B4D6A">
      <w:pPr>
        <w:jc w:val="center"/>
        <w:rPr>
          <w:rFonts w:ascii="Arial" w:hAnsi="Arial" w:cs="Arial"/>
          <w:sz w:val="22"/>
          <w:szCs w:val="22"/>
        </w:rPr>
      </w:pPr>
    </w:p>
    <w:p w:rsidR="00510B0B" w:rsidRPr="00A8751B" w:rsidRDefault="002B1894" w:rsidP="001B4D6A">
      <w:pPr>
        <w:jc w:val="center"/>
        <w:rPr>
          <w:rFonts w:ascii="Arial" w:hAnsi="Arial" w:cs="Arial"/>
          <w:color w:val="0000CC"/>
          <w:sz w:val="22"/>
          <w:szCs w:val="22"/>
        </w:rPr>
      </w:pPr>
      <w:r>
        <w:rPr>
          <w:rFonts w:ascii="Arial" w:hAnsi="Arial" w:cs="Arial"/>
          <w:noProof/>
          <w:color w:val="0000CC"/>
          <w:sz w:val="22"/>
          <w:szCs w:val="22"/>
          <w:lang w:eastAsia="en-US"/>
        </w:rPr>
        <w:drawing>
          <wp:inline distT="0" distB="0" distL="0" distR="0">
            <wp:extent cx="4596765" cy="266446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9" cstate="print"/>
                    <a:srcRect/>
                    <a:stretch>
                      <a:fillRect/>
                    </a:stretch>
                  </pic:blipFill>
                  <pic:spPr bwMode="auto">
                    <a:xfrm>
                      <a:off x="0" y="0"/>
                      <a:ext cx="4596765" cy="2664460"/>
                    </a:xfrm>
                    <a:prstGeom prst="rect">
                      <a:avLst/>
                    </a:prstGeom>
                    <a:noFill/>
                  </pic:spPr>
                </pic:pic>
              </a:graphicData>
            </a:graphic>
          </wp:inline>
        </w:drawing>
      </w:r>
    </w:p>
    <w:p w:rsidR="00510B0B" w:rsidRPr="00A8751B" w:rsidRDefault="00510B0B" w:rsidP="001B4D6A">
      <w:pPr>
        <w:jc w:val="center"/>
        <w:rPr>
          <w:rFonts w:ascii="Arial" w:hAnsi="Arial" w:cs="Arial"/>
          <w:color w:val="0000CC"/>
          <w:sz w:val="22"/>
          <w:szCs w:val="22"/>
        </w:rPr>
      </w:pPr>
    </w:p>
    <w:p w:rsidR="00DA04D6" w:rsidRPr="00C31353" w:rsidRDefault="00DA04D6" w:rsidP="001B4D6A">
      <w:pPr>
        <w:jc w:val="center"/>
        <w:rPr>
          <w:rFonts w:ascii="Arial" w:hAnsi="Arial" w:cs="Arial"/>
          <w:b/>
          <w:sz w:val="22"/>
          <w:szCs w:val="22"/>
        </w:rPr>
      </w:pPr>
      <w:r>
        <w:rPr>
          <w:rFonts w:ascii="Arial" w:hAnsi="Arial" w:cs="Arial"/>
          <w:b/>
          <w:sz w:val="22"/>
          <w:szCs w:val="22"/>
        </w:rPr>
        <w:t>Figure</w:t>
      </w:r>
      <w:r w:rsidR="00444C61">
        <w:rPr>
          <w:rFonts w:ascii="Arial" w:hAnsi="Arial" w:cs="Arial"/>
          <w:b/>
          <w:sz w:val="22"/>
          <w:szCs w:val="22"/>
        </w:rPr>
        <w:t xml:space="preserve"> 3.D.5</w:t>
      </w:r>
      <w:r>
        <w:rPr>
          <w:rFonts w:ascii="Arial" w:hAnsi="Arial" w:cs="Arial"/>
          <w:b/>
          <w:sz w:val="22"/>
          <w:szCs w:val="22"/>
        </w:rPr>
        <w:t>: Career Fairs</w:t>
      </w:r>
    </w:p>
    <w:p w:rsidR="00DA04D6" w:rsidRDefault="00DA04D6" w:rsidP="001B4D6A">
      <w:pPr>
        <w:rPr>
          <w:rFonts w:ascii="Arial" w:hAnsi="Arial" w:cs="Arial"/>
          <w:sz w:val="22"/>
          <w:szCs w:val="22"/>
        </w:rPr>
      </w:pPr>
    </w:p>
    <w:p w:rsidR="00510B0B" w:rsidRPr="00A8751B" w:rsidRDefault="001C5520" w:rsidP="001B4D6A">
      <w:pPr>
        <w:rPr>
          <w:rFonts w:ascii="Arial" w:hAnsi="Arial" w:cs="Arial"/>
          <w:sz w:val="22"/>
          <w:szCs w:val="22"/>
          <w:lang w:eastAsia="en-US"/>
        </w:rPr>
      </w:pPr>
      <w:r>
        <w:rPr>
          <w:rFonts w:ascii="Arial" w:hAnsi="Arial" w:cs="Arial"/>
          <w:sz w:val="22"/>
          <w:szCs w:val="22"/>
        </w:rPr>
        <w:t xml:space="preserve">In </w:t>
      </w:r>
      <w:r w:rsidR="00510B0B" w:rsidRPr="00A8751B">
        <w:rPr>
          <w:rFonts w:ascii="Arial" w:hAnsi="Arial" w:cs="Arial"/>
          <w:sz w:val="22"/>
          <w:szCs w:val="22"/>
        </w:rPr>
        <w:t>Spring 2007</w:t>
      </w:r>
      <w:r w:rsidR="00F26BC9">
        <w:rPr>
          <w:rFonts w:ascii="Arial" w:hAnsi="Arial" w:cs="Arial"/>
          <w:sz w:val="22"/>
          <w:szCs w:val="22"/>
        </w:rPr>
        <w:t>,</w:t>
      </w:r>
      <w:r w:rsidR="00510B0B" w:rsidRPr="00A8751B">
        <w:rPr>
          <w:rFonts w:ascii="Arial" w:hAnsi="Arial" w:cs="Arial"/>
          <w:sz w:val="22"/>
          <w:szCs w:val="22"/>
        </w:rPr>
        <w:t xml:space="preserve"> Career Services implemented a career management software system to expand services and proactively respond to </w:t>
      </w:r>
      <w:r w:rsidR="00F26BC9">
        <w:rPr>
          <w:rFonts w:ascii="Arial" w:hAnsi="Arial" w:cs="Arial"/>
          <w:sz w:val="22"/>
          <w:szCs w:val="22"/>
        </w:rPr>
        <w:t>the</w:t>
      </w:r>
      <w:r w:rsidR="00510B0B" w:rsidRPr="00A8751B">
        <w:rPr>
          <w:rFonts w:ascii="Arial" w:hAnsi="Arial" w:cs="Arial"/>
          <w:sz w:val="22"/>
          <w:szCs w:val="22"/>
        </w:rPr>
        <w:t xml:space="preserve"> growing </w:t>
      </w:r>
      <w:r w:rsidR="00F26BC9">
        <w:rPr>
          <w:rFonts w:ascii="Arial" w:hAnsi="Arial" w:cs="Arial"/>
          <w:sz w:val="22"/>
          <w:szCs w:val="22"/>
        </w:rPr>
        <w:t xml:space="preserve">student </w:t>
      </w:r>
      <w:r w:rsidR="00510B0B" w:rsidRPr="00A8751B">
        <w:rPr>
          <w:rFonts w:ascii="Arial" w:hAnsi="Arial" w:cs="Arial"/>
          <w:sz w:val="22"/>
          <w:szCs w:val="22"/>
        </w:rPr>
        <w:t xml:space="preserve">use of technology. Prior to this software, students were physically signing up for on-campus interviews by coming into the office to write their name on a timeslot, </w:t>
      </w:r>
      <w:r w:rsidR="00F26BC9">
        <w:rPr>
          <w:rFonts w:ascii="Arial" w:hAnsi="Arial" w:cs="Arial"/>
          <w:sz w:val="22"/>
          <w:szCs w:val="22"/>
        </w:rPr>
        <w:t xml:space="preserve">to </w:t>
      </w:r>
      <w:r w:rsidR="00510B0B" w:rsidRPr="00A8751B">
        <w:rPr>
          <w:rFonts w:ascii="Arial" w:hAnsi="Arial" w:cs="Arial"/>
          <w:sz w:val="22"/>
          <w:szCs w:val="22"/>
        </w:rPr>
        <w:t xml:space="preserve">view job postings on a bulletin board, and </w:t>
      </w:r>
      <w:r w:rsidR="00F26BC9">
        <w:rPr>
          <w:rFonts w:ascii="Arial" w:hAnsi="Arial" w:cs="Arial"/>
          <w:sz w:val="22"/>
          <w:szCs w:val="22"/>
        </w:rPr>
        <w:t>then to email</w:t>
      </w:r>
      <w:r w:rsidR="00510B0B" w:rsidRPr="00A8751B">
        <w:rPr>
          <w:rFonts w:ascii="Arial" w:hAnsi="Arial" w:cs="Arial"/>
          <w:sz w:val="22"/>
          <w:szCs w:val="22"/>
        </w:rPr>
        <w:t xml:space="preserve"> a rés</w:t>
      </w:r>
      <w:r w:rsidR="00484B31">
        <w:rPr>
          <w:rFonts w:ascii="Arial" w:hAnsi="Arial" w:cs="Arial"/>
          <w:sz w:val="22"/>
          <w:szCs w:val="22"/>
        </w:rPr>
        <w:t>umé and info</w:t>
      </w:r>
      <w:r w:rsidR="00931015">
        <w:rPr>
          <w:rFonts w:ascii="Arial" w:hAnsi="Arial" w:cs="Arial"/>
          <w:sz w:val="22"/>
          <w:szCs w:val="22"/>
        </w:rPr>
        <w:t>rmation sheet to Career Service</w:t>
      </w:r>
      <w:r w:rsidR="00484B31">
        <w:rPr>
          <w:rFonts w:ascii="Arial" w:hAnsi="Arial" w:cs="Arial"/>
          <w:sz w:val="22"/>
          <w:szCs w:val="22"/>
        </w:rPr>
        <w:t>s</w:t>
      </w:r>
      <w:r w:rsidR="00510B0B" w:rsidRPr="00A8751B">
        <w:rPr>
          <w:rFonts w:ascii="Arial" w:hAnsi="Arial" w:cs="Arial"/>
          <w:sz w:val="22"/>
          <w:szCs w:val="22"/>
        </w:rPr>
        <w:t xml:space="preserve"> to have it electronically accessible for employers. The office has seen opport</w:t>
      </w:r>
      <w:r w:rsidR="00484B31">
        <w:rPr>
          <w:rFonts w:ascii="Arial" w:hAnsi="Arial" w:cs="Arial"/>
          <w:sz w:val="22"/>
          <w:szCs w:val="22"/>
        </w:rPr>
        <w:t>unities increase with making</w:t>
      </w:r>
      <w:r w:rsidR="00510B0B" w:rsidRPr="00A8751B">
        <w:rPr>
          <w:rFonts w:ascii="Arial" w:hAnsi="Arial" w:cs="Arial"/>
          <w:sz w:val="22"/>
          <w:szCs w:val="22"/>
        </w:rPr>
        <w:t xml:space="preserve"> services accessible online through DIGGERecruiting. A specific area of growth has been in the number of jobs posted online through DIGGERecruiting. This </w:t>
      </w:r>
      <w:r w:rsidR="00F26BC9">
        <w:rPr>
          <w:rFonts w:ascii="Arial" w:hAnsi="Arial" w:cs="Arial"/>
          <w:sz w:val="22"/>
          <w:szCs w:val="22"/>
        </w:rPr>
        <w:t xml:space="preserve">innovation </w:t>
      </w:r>
      <w:r w:rsidR="00510B0B" w:rsidRPr="00A8751B">
        <w:rPr>
          <w:rFonts w:ascii="Arial" w:hAnsi="Arial" w:cs="Arial"/>
          <w:sz w:val="22"/>
          <w:szCs w:val="22"/>
        </w:rPr>
        <w:t xml:space="preserve">has also helped employer development and outreach for </w:t>
      </w:r>
      <w:r w:rsidR="00F26BC9">
        <w:rPr>
          <w:rFonts w:ascii="Arial" w:hAnsi="Arial" w:cs="Arial"/>
          <w:sz w:val="22"/>
          <w:szCs w:val="22"/>
        </w:rPr>
        <w:t xml:space="preserve">those </w:t>
      </w:r>
      <w:r w:rsidR="00510B0B" w:rsidRPr="00A8751B">
        <w:rPr>
          <w:rFonts w:ascii="Arial" w:hAnsi="Arial" w:cs="Arial"/>
          <w:sz w:val="22"/>
          <w:szCs w:val="22"/>
        </w:rPr>
        <w:t xml:space="preserve">majors </w:t>
      </w:r>
      <w:r w:rsidR="00F26BC9">
        <w:rPr>
          <w:rFonts w:ascii="Arial" w:hAnsi="Arial" w:cs="Arial"/>
          <w:sz w:val="22"/>
          <w:szCs w:val="22"/>
        </w:rPr>
        <w:t xml:space="preserve">in programs which had </w:t>
      </w:r>
      <w:r w:rsidR="00510B0B" w:rsidRPr="00A8751B">
        <w:rPr>
          <w:rFonts w:ascii="Arial" w:hAnsi="Arial" w:cs="Arial"/>
          <w:sz w:val="22"/>
          <w:szCs w:val="22"/>
        </w:rPr>
        <w:t xml:space="preserve">only a </w:t>
      </w:r>
      <w:r w:rsidR="00F26BC9">
        <w:rPr>
          <w:rFonts w:ascii="Arial" w:hAnsi="Arial" w:cs="Arial"/>
          <w:sz w:val="22"/>
          <w:szCs w:val="22"/>
        </w:rPr>
        <w:t>few graduates annually. In Figure</w:t>
      </w:r>
      <w:r w:rsidR="00444C61">
        <w:rPr>
          <w:rFonts w:ascii="Arial" w:hAnsi="Arial" w:cs="Arial"/>
          <w:sz w:val="22"/>
          <w:szCs w:val="22"/>
        </w:rPr>
        <w:t xml:space="preserve"> 3.D.6</w:t>
      </w:r>
      <w:r w:rsidR="00510B0B" w:rsidRPr="00A8751B">
        <w:rPr>
          <w:rFonts w:ascii="Arial" w:hAnsi="Arial" w:cs="Arial"/>
          <w:sz w:val="22"/>
          <w:szCs w:val="22"/>
        </w:rPr>
        <w:t xml:space="preserve"> DIGGERecruiting information is outlined. The number of students</w:t>
      </w:r>
      <w:r w:rsidR="003E1973">
        <w:rPr>
          <w:rFonts w:ascii="Arial" w:hAnsi="Arial" w:cs="Arial"/>
          <w:sz w:val="22"/>
          <w:szCs w:val="22"/>
        </w:rPr>
        <w:t xml:space="preserve"> engaged with Career Services</w:t>
      </w:r>
      <w:r w:rsidR="00510B0B" w:rsidRPr="00A8751B">
        <w:rPr>
          <w:rFonts w:ascii="Arial" w:hAnsi="Arial" w:cs="Arial"/>
          <w:sz w:val="22"/>
          <w:szCs w:val="22"/>
        </w:rPr>
        <w:t xml:space="preserve"> continues to grow. </w:t>
      </w:r>
    </w:p>
    <w:p w:rsidR="00FA308E" w:rsidRDefault="00FA308E" w:rsidP="001B4D6A">
      <w:pPr>
        <w:jc w:val="center"/>
        <w:rPr>
          <w:rFonts w:ascii="Arial" w:hAnsi="Arial" w:cs="Arial"/>
          <w:b/>
          <w:sz w:val="22"/>
          <w:szCs w:val="22"/>
          <w:lang w:eastAsia="en-US"/>
        </w:rPr>
      </w:pPr>
    </w:p>
    <w:p w:rsidR="00F60CC3" w:rsidRDefault="00F93822" w:rsidP="001B4D6A">
      <w:pPr>
        <w:jc w:val="center"/>
        <w:rPr>
          <w:rFonts w:ascii="Arial" w:hAnsi="Arial" w:cs="Arial"/>
          <w:b/>
          <w:sz w:val="22"/>
          <w:szCs w:val="22"/>
          <w:lang w:eastAsia="en-US"/>
        </w:rPr>
      </w:pPr>
      <w:r w:rsidRPr="00F93822">
        <w:rPr>
          <w:rFonts w:ascii="Arial" w:hAnsi="Arial" w:cs="Arial"/>
          <w:b/>
          <w:noProof/>
          <w:sz w:val="22"/>
          <w:szCs w:val="22"/>
          <w:lang w:eastAsia="en-US"/>
        </w:rPr>
        <w:drawing>
          <wp:inline distT="0" distB="0" distL="0" distR="0">
            <wp:extent cx="4590415" cy="2767965"/>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srcRect/>
                    <a:stretch>
                      <a:fillRect/>
                    </a:stretch>
                  </pic:blipFill>
                  <pic:spPr bwMode="auto">
                    <a:xfrm>
                      <a:off x="0" y="0"/>
                      <a:ext cx="4590415" cy="2767965"/>
                    </a:xfrm>
                    <a:prstGeom prst="rect">
                      <a:avLst/>
                    </a:prstGeom>
                    <a:noFill/>
                  </pic:spPr>
                </pic:pic>
              </a:graphicData>
            </a:graphic>
          </wp:inline>
        </w:drawing>
      </w:r>
    </w:p>
    <w:p w:rsidR="00510B0B" w:rsidRPr="00A8751B" w:rsidRDefault="00510B0B" w:rsidP="001B4D6A">
      <w:pPr>
        <w:jc w:val="center"/>
        <w:rPr>
          <w:rFonts w:ascii="Arial" w:hAnsi="Arial" w:cs="Arial"/>
          <w:sz w:val="22"/>
          <w:szCs w:val="22"/>
        </w:rPr>
      </w:pPr>
    </w:p>
    <w:p w:rsidR="00F26BC9" w:rsidRPr="00C31353" w:rsidRDefault="00F26BC9" w:rsidP="001B4D6A">
      <w:pPr>
        <w:jc w:val="center"/>
        <w:rPr>
          <w:rFonts w:ascii="Arial" w:hAnsi="Arial" w:cs="Arial"/>
          <w:b/>
          <w:sz w:val="22"/>
          <w:szCs w:val="22"/>
          <w:lang w:eastAsia="en-US"/>
        </w:rPr>
      </w:pPr>
      <w:r>
        <w:rPr>
          <w:rFonts w:ascii="Arial" w:hAnsi="Arial" w:cs="Arial"/>
          <w:b/>
          <w:sz w:val="22"/>
          <w:szCs w:val="22"/>
          <w:lang w:eastAsia="en-US"/>
        </w:rPr>
        <w:t>Figure</w:t>
      </w:r>
      <w:r w:rsidR="00444C61">
        <w:rPr>
          <w:rFonts w:ascii="Arial" w:hAnsi="Arial" w:cs="Arial"/>
          <w:b/>
          <w:sz w:val="22"/>
          <w:szCs w:val="22"/>
          <w:lang w:eastAsia="en-US"/>
        </w:rPr>
        <w:t xml:space="preserve"> 3.D.6</w:t>
      </w:r>
      <w:r>
        <w:rPr>
          <w:rFonts w:ascii="Arial" w:hAnsi="Arial" w:cs="Arial"/>
          <w:b/>
          <w:sz w:val="22"/>
          <w:szCs w:val="22"/>
          <w:lang w:eastAsia="en-US"/>
        </w:rPr>
        <w:t>:  DIGGERecruiting</w:t>
      </w:r>
    </w:p>
    <w:p w:rsidR="00F26BC9" w:rsidRDefault="00F26BC9" w:rsidP="001B4D6A">
      <w:pPr>
        <w:rPr>
          <w:rFonts w:ascii="Arial" w:hAnsi="Arial" w:cs="Arial"/>
          <w:sz w:val="22"/>
          <w:szCs w:val="22"/>
        </w:rPr>
      </w:pPr>
    </w:p>
    <w:p w:rsidR="00510B0B" w:rsidRPr="00A8751B" w:rsidRDefault="00510B0B" w:rsidP="001B4D6A">
      <w:pPr>
        <w:rPr>
          <w:rFonts w:ascii="Arial" w:hAnsi="Arial" w:cs="Arial"/>
          <w:sz w:val="22"/>
          <w:szCs w:val="22"/>
        </w:rPr>
      </w:pPr>
      <w:r w:rsidRPr="00A8751B">
        <w:rPr>
          <w:rFonts w:ascii="Arial" w:hAnsi="Arial" w:cs="Arial"/>
          <w:sz w:val="22"/>
          <w:szCs w:val="22"/>
        </w:rPr>
        <w:t xml:space="preserve">In Fall 2008, the offices of Alumni Affairs and the </w:t>
      </w:r>
      <w:r w:rsidR="00484B31">
        <w:rPr>
          <w:rFonts w:ascii="Arial" w:hAnsi="Arial" w:cs="Arial"/>
          <w:sz w:val="22"/>
          <w:szCs w:val="22"/>
        </w:rPr>
        <w:t xml:space="preserve">Montana Tech </w:t>
      </w:r>
      <w:r w:rsidRPr="00A8751B">
        <w:rPr>
          <w:rFonts w:ascii="Arial" w:hAnsi="Arial" w:cs="Arial"/>
          <w:sz w:val="22"/>
          <w:szCs w:val="22"/>
        </w:rPr>
        <w:t>Foundation launched software to connect alumni with Montana Tech’s campus. Part of the services promoted online is to connect Career Services to a</w:t>
      </w:r>
      <w:r w:rsidR="00F26BC9">
        <w:rPr>
          <w:rFonts w:ascii="Arial" w:hAnsi="Arial" w:cs="Arial"/>
          <w:sz w:val="22"/>
          <w:szCs w:val="22"/>
        </w:rPr>
        <w:t>lumni. Alumni options include</w:t>
      </w:r>
      <w:r w:rsidRPr="00A8751B">
        <w:rPr>
          <w:rFonts w:ascii="Arial" w:hAnsi="Arial" w:cs="Arial"/>
          <w:sz w:val="22"/>
          <w:szCs w:val="22"/>
        </w:rPr>
        <w:t xml:space="preserve"> assist</w:t>
      </w:r>
      <w:r w:rsidR="00F26BC9">
        <w:rPr>
          <w:rFonts w:ascii="Arial" w:hAnsi="Arial" w:cs="Arial"/>
          <w:sz w:val="22"/>
          <w:szCs w:val="22"/>
        </w:rPr>
        <w:t>ing</w:t>
      </w:r>
      <w:r w:rsidRPr="00A8751B">
        <w:rPr>
          <w:rFonts w:ascii="Arial" w:hAnsi="Arial" w:cs="Arial"/>
          <w:sz w:val="22"/>
          <w:szCs w:val="22"/>
        </w:rPr>
        <w:t xml:space="preserve"> current students with career advice/mentoring and </w:t>
      </w:r>
      <w:r w:rsidR="00F26BC9">
        <w:rPr>
          <w:rFonts w:ascii="Arial" w:hAnsi="Arial" w:cs="Arial"/>
          <w:sz w:val="22"/>
          <w:szCs w:val="22"/>
        </w:rPr>
        <w:t>determining</w:t>
      </w:r>
      <w:r w:rsidRPr="00A8751B">
        <w:rPr>
          <w:rFonts w:ascii="Arial" w:hAnsi="Arial" w:cs="Arial"/>
          <w:sz w:val="22"/>
          <w:szCs w:val="22"/>
        </w:rPr>
        <w:t xml:space="preserve"> if they are interested in receiving assistance from Career Services. By shifting to an online format with job postings accessible through the Internet, Career Services permits alumni to register with the office and </w:t>
      </w:r>
      <w:r w:rsidR="00F26BC9">
        <w:rPr>
          <w:rFonts w:ascii="Arial" w:hAnsi="Arial" w:cs="Arial"/>
          <w:sz w:val="22"/>
          <w:szCs w:val="22"/>
        </w:rPr>
        <w:t xml:space="preserve">to </w:t>
      </w:r>
      <w:r w:rsidRPr="00A8751B">
        <w:rPr>
          <w:rFonts w:ascii="Arial" w:hAnsi="Arial" w:cs="Arial"/>
          <w:sz w:val="22"/>
          <w:szCs w:val="22"/>
        </w:rPr>
        <w:t>view online jobs for free. Many employers have es</w:t>
      </w:r>
      <w:r w:rsidR="00F26BC9">
        <w:rPr>
          <w:rFonts w:ascii="Arial" w:hAnsi="Arial" w:cs="Arial"/>
          <w:sz w:val="22"/>
          <w:szCs w:val="22"/>
        </w:rPr>
        <w:t>tablished relationships with selected</w:t>
      </w:r>
      <w:r w:rsidRPr="00A8751B">
        <w:rPr>
          <w:rFonts w:ascii="Arial" w:hAnsi="Arial" w:cs="Arial"/>
          <w:sz w:val="22"/>
          <w:szCs w:val="22"/>
        </w:rPr>
        <w:t xml:space="preserve"> departments at Montana Tech and have hired students as interns and </w:t>
      </w:r>
      <w:r w:rsidR="00F26BC9">
        <w:rPr>
          <w:rFonts w:ascii="Arial" w:hAnsi="Arial" w:cs="Arial"/>
          <w:sz w:val="22"/>
          <w:szCs w:val="22"/>
        </w:rPr>
        <w:t xml:space="preserve">as </w:t>
      </w:r>
      <w:r w:rsidRPr="00A8751B">
        <w:rPr>
          <w:rFonts w:ascii="Arial" w:hAnsi="Arial" w:cs="Arial"/>
          <w:sz w:val="22"/>
          <w:szCs w:val="22"/>
        </w:rPr>
        <w:t xml:space="preserve">entry-level employees. This </w:t>
      </w:r>
      <w:r w:rsidR="00F26BC9">
        <w:rPr>
          <w:rFonts w:ascii="Arial" w:hAnsi="Arial" w:cs="Arial"/>
          <w:sz w:val="22"/>
          <w:szCs w:val="22"/>
        </w:rPr>
        <w:t xml:space="preserve">approach </w:t>
      </w:r>
      <w:r w:rsidRPr="00A8751B">
        <w:rPr>
          <w:rFonts w:ascii="Arial" w:hAnsi="Arial" w:cs="Arial"/>
          <w:sz w:val="22"/>
          <w:szCs w:val="22"/>
        </w:rPr>
        <w:t xml:space="preserve">allows Career Services to better assist employers as well as </w:t>
      </w:r>
      <w:r w:rsidR="00F26BC9">
        <w:rPr>
          <w:rFonts w:ascii="Arial" w:hAnsi="Arial" w:cs="Arial"/>
          <w:sz w:val="22"/>
          <w:szCs w:val="22"/>
        </w:rPr>
        <w:t xml:space="preserve">to </w:t>
      </w:r>
      <w:r w:rsidRPr="00A8751B">
        <w:rPr>
          <w:rFonts w:ascii="Arial" w:hAnsi="Arial" w:cs="Arial"/>
          <w:sz w:val="22"/>
          <w:szCs w:val="22"/>
        </w:rPr>
        <w:t xml:space="preserve">connect alumni with potential employers. </w:t>
      </w:r>
    </w:p>
    <w:p w:rsidR="00510B0B" w:rsidRPr="00A8751B" w:rsidRDefault="00510B0B" w:rsidP="001B4D6A">
      <w:pPr>
        <w:rPr>
          <w:rFonts w:ascii="Arial" w:hAnsi="Arial" w:cs="Arial"/>
          <w:sz w:val="22"/>
          <w:szCs w:val="22"/>
        </w:rPr>
      </w:pPr>
    </w:p>
    <w:p w:rsidR="00AF4C20" w:rsidRPr="00C74C86" w:rsidRDefault="00510B0B" w:rsidP="001B4D6A">
      <w:r w:rsidRPr="00A8751B">
        <w:rPr>
          <w:rFonts w:ascii="Arial" w:hAnsi="Arial" w:cs="Arial"/>
          <w:sz w:val="22"/>
          <w:szCs w:val="22"/>
        </w:rPr>
        <w:t>The Experiential Learning and Internship Programs offered at Montana Tech ar</w:t>
      </w:r>
      <w:r w:rsidR="00F26BC9">
        <w:rPr>
          <w:rFonts w:ascii="Arial" w:hAnsi="Arial" w:cs="Arial"/>
          <w:sz w:val="22"/>
          <w:szCs w:val="22"/>
        </w:rPr>
        <w:t>e critical to the success of its</w:t>
      </w:r>
      <w:r w:rsidRPr="00A8751B">
        <w:rPr>
          <w:rFonts w:ascii="Arial" w:hAnsi="Arial" w:cs="Arial"/>
          <w:sz w:val="22"/>
          <w:szCs w:val="22"/>
        </w:rPr>
        <w:t xml:space="preserve"> graduates. Since 2002, Career Services </w:t>
      </w:r>
      <w:r w:rsidR="001C5520">
        <w:rPr>
          <w:rFonts w:ascii="Arial" w:hAnsi="Arial" w:cs="Arial"/>
          <w:sz w:val="22"/>
          <w:szCs w:val="22"/>
        </w:rPr>
        <w:t>has collected and reported</w:t>
      </w:r>
      <w:r w:rsidRPr="00A8751B">
        <w:rPr>
          <w:rFonts w:ascii="Arial" w:hAnsi="Arial" w:cs="Arial"/>
          <w:sz w:val="22"/>
          <w:szCs w:val="22"/>
        </w:rPr>
        <w:t xml:space="preserve"> degree-related experiences shared by students. Complete reports are available online at </w:t>
      </w:r>
      <w:hyperlink r:id="rId61" w:history="1">
        <w:r w:rsidRPr="00A8751B">
          <w:rPr>
            <w:rStyle w:val="Hyperlink"/>
            <w:rFonts w:ascii="Arial" w:hAnsi="Arial" w:cs="Arial"/>
            <w:sz w:val="22"/>
            <w:szCs w:val="22"/>
          </w:rPr>
          <w:t>www.mtech.edu/career/surveys</w:t>
        </w:r>
      </w:hyperlink>
      <w:r w:rsidRPr="00A8751B">
        <w:rPr>
          <w:rFonts w:ascii="Arial" w:hAnsi="Arial" w:cs="Arial"/>
          <w:sz w:val="22"/>
          <w:szCs w:val="22"/>
        </w:rPr>
        <w:t xml:space="preserve">. Prospective students often hear about the higher than average starting salaries and high annual placement percentage. </w:t>
      </w:r>
      <w:r w:rsidR="00F26BC9">
        <w:rPr>
          <w:rFonts w:ascii="Arial" w:hAnsi="Arial" w:cs="Arial"/>
          <w:sz w:val="22"/>
          <w:szCs w:val="22"/>
        </w:rPr>
        <w:t>Although this is true,</w:t>
      </w:r>
      <w:r w:rsidRPr="00A8751B">
        <w:rPr>
          <w:rFonts w:ascii="Arial" w:hAnsi="Arial" w:cs="Arial"/>
          <w:sz w:val="22"/>
          <w:szCs w:val="22"/>
        </w:rPr>
        <w:t xml:space="preserve"> it is based upon the emphasis faculty and students place on getting hands-on, degree-related experience prior to graduation</w:t>
      </w:r>
      <w:r w:rsidRPr="00C74C86">
        <w:rPr>
          <w:rFonts w:ascii="Arial" w:hAnsi="Arial" w:cs="Arial"/>
          <w:sz w:val="22"/>
          <w:szCs w:val="22"/>
        </w:rPr>
        <w:t xml:space="preserve">. </w:t>
      </w:r>
      <w:r w:rsidR="00AF4C20" w:rsidRPr="00C74C86">
        <w:rPr>
          <w:rFonts w:ascii="Arial" w:hAnsi="Arial" w:cs="Arial"/>
          <w:sz w:val="22"/>
          <w:szCs w:val="22"/>
        </w:rPr>
        <w:t xml:space="preserve">Figure 3.D.7 highlights the internship program statistics including: the number of credits earned, the number of participating students (engineering and other programs), the number of employers </w:t>
      </w:r>
      <w:r w:rsidR="00CA61B3" w:rsidRPr="00C74C86">
        <w:rPr>
          <w:rFonts w:ascii="Arial" w:hAnsi="Arial" w:cs="Arial"/>
          <w:sz w:val="22"/>
          <w:szCs w:val="22"/>
        </w:rPr>
        <w:t>offering</w:t>
      </w:r>
      <w:r w:rsidR="00AF4C20" w:rsidRPr="00C74C86">
        <w:rPr>
          <w:rFonts w:ascii="Arial" w:hAnsi="Arial" w:cs="Arial"/>
          <w:sz w:val="22"/>
          <w:szCs w:val="22"/>
        </w:rPr>
        <w:t xml:space="preserve"> summer positions</w:t>
      </w:r>
      <w:r w:rsidR="00931015" w:rsidRPr="00C74C86">
        <w:rPr>
          <w:rFonts w:ascii="Arial" w:hAnsi="Arial" w:cs="Arial"/>
          <w:sz w:val="22"/>
          <w:szCs w:val="22"/>
        </w:rPr>
        <w:t>,</w:t>
      </w:r>
      <w:r w:rsidR="00AF4C20" w:rsidRPr="00C74C86">
        <w:rPr>
          <w:rFonts w:ascii="Arial" w:hAnsi="Arial" w:cs="Arial"/>
          <w:sz w:val="22"/>
          <w:szCs w:val="22"/>
        </w:rPr>
        <w:t xml:space="preserve"> and internships throughout each academic year.</w:t>
      </w:r>
    </w:p>
    <w:p w:rsidR="00757CC6" w:rsidRDefault="00757CC6" w:rsidP="001B4D6A">
      <w:pPr>
        <w:rPr>
          <w:rFonts w:ascii="Arial" w:hAnsi="Arial" w:cs="Arial"/>
          <w:sz w:val="22"/>
          <w:szCs w:val="22"/>
        </w:rPr>
      </w:pPr>
    </w:p>
    <w:p w:rsidR="00757CC6" w:rsidRDefault="002B1894" w:rsidP="001B4D6A">
      <w:pPr>
        <w:jc w:val="center"/>
        <w:rPr>
          <w:rFonts w:ascii="Arial" w:hAnsi="Arial" w:cs="Arial"/>
          <w:sz w:val="22"/>
          <w:szCs w:val="22"/>
        </w:rPr>
      </w:pPr>
      <w:r>
        <w:rPr>
          <w:rFonts w:ascii="Arial" w:hAnsi="Arial" w:cs="Arial"/>
          <w:noProof/>
          <w:sz w:val="22"/>
          <w:szCs w:val="22"/>
          <w:lang w:eastAsia="en-US"/>
        </w:rPr>
        <w:lastRenderedPageBreak/>
        <w:drawing>
          <wp:inline distT="0" distB="0" distL="0" distR="0">
            <wp:extent cx="4596765" cy="265176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2" cstate="print"/>
                    <a:srcRect/>
                    <a:stretch>
                      <a:fillRect/>
                    </a:stretch>
                  </pic:blipFill>
                  <pic:spPr bwMode="auto">
                    <a:xfrm>
                      <a:off x="0" y="0"/>
                      <a:ext cx="4596765" cy="2651760"/>
                    </a:xfrm>
                    <a:prstGeom prst="rect">
                      <a:avLst/>
                    </a:prstGeom>
                    <a:noFill/>
                  </pic:spPr>
                </pic:pic>
              </a:graphicData>
            </a:graphic>
          </wp:inline>
        </w:drawing>
      </w:r>
    </w:p>
    <w:p w:rsidR="00757CC6" w:rsidRDefault="00757CC6" w:rsidP="001B4D6A">
      <w:pPr>
        <w:rPr>
          <w:rFonts w:ascii="Arial" w:hAnsi="Arial" w:cs="Arial"/>
          <w:sz w:val="22"/>
          <w:szCs w:val="22"/>
        </w:rPr>
      </w:pPr>
    </w:p>
    <w:p w:rsidR="00757CC6" w:rsidRPr="00906FAA" w:rsidRDefault="00757CC6" w:rsidP="001B4D6A">
      <w:pPr>
        <w:jc w:val="center"/>
        <w:rPr>
          <w:rFonts w:ascii="Arial" w:hAnsi="Arial" w:cs="Arial"/>
          <w:b/>
          <w:sz w:val="22"/>
          <w:szCs w:val="22"/>
        </w:rPr>
      </w:pPr>
      <w:r>
        <w:rPr>
          <w:rFonts w:ascii="Arial" w:hAnsi="Arial" w:cs="Arial"/>
          <w:b/>
          <w:sz w:val="22"/>
          <w:szCs w:val="22"/>
        </w:rPr>
        <w:t>Figure</w:t>
      </w:r>
      <w:r w:rsidR="00444C61">
        <w:rPr>
          <w:rFonts w:ascii="Arial" w:hAnsi="Arial" w:cs="Arial"/>
          <w:b/>
          <w:sz w:val="22"/>
          <w:szCs w:val="22"/>
        </w:rPr>
        <w:t xml:space="preserve"> 3.D.7</w:t>
      </w:r>
      <w:r>
        <w:rPr>
          <w:rFonts w:ascii="Arial" w:hAnsi="Arial" w:cs="Arial"/>
          <w:b/>
          <w:sz w:val="22"/>
          <w:szCs w:val="22"/>
        </w:rPr>
        <w:t>: Internship Program</w:t>
      </w:r>
    </w:p>
    <w:p w:rsidR="00757CC6" w:rsidRDefault="00757CC6" w:rsidP="001B4D6A">
      <w:pPr>
        <w:rPr>
          <w:rFonts w:ascii="Arial" w:hAnsi="Arial" w:cs="Arial"/>
          <w:sz w:val="22"/>
          <w:szCs w:val="22"/>
        </w:rPr>
      </w:pPr>
    </w:p>
    <w:p w:rsidR="00510B0B" w:rsidRPr="00A8751B" w:rsidRDefault="00510B0B" w:rsidP="001B4D6A">
      <w:pPr>
        <w:rPr>
          <w:rFonts w:ascii="Arial" w:hAnsi="Arial" w:cs="Arial"/>
          <w:sz w:val="22"/>
          <w:szCs w:val="22"/>
        </w:rPr>
      </w:pPr>
      <w:r w:rsidRPr="00A8751B">
        <w:rPr>
          <w:rFonts w:ascii="Arial" w:hAnsi="Arial" w:cs="Arial"/>
          <w:sz w:val="22"/>
          <w:szCs w:val="22"/>
        </w:rPr>
        <w:t>Career Services collects and monitors the paperwork for faculty intern advisors to use in determining the credit allocated for the experience. Students who wish to earn academic credit complete the appropriate paperwork with their faculty advisor and workplace supervisor (in</w:t>
      </w:r>
      <w:r w:rsidR="00757CC6">
        <w:rPr>
          <w:rFonts w:ascii="Arial" w:hAnsi="Arial" w:cs="Arial"/>
          <w:sz w:val="22"/>
          <w:szCs w:val="22"/>
        </w:rPr>
        <w:t xml:space="preserve">cluding the learning agreement and </w:t>
      </w:r>
      <w:r w:rsidRPr="00A8751B">
        <w:rPr>
          <w:rFonts w:ascii="Arial" w:hAnsi="Arial" w:cs="Arial"/>
          <w:sz w:val="22"/>
          <w:szCs w:val="22"/>
        </w:rPr>
        <w:t xml:space="preserve">student and supervisor evaluations).  </w:t>
      </w:r>
    </w:p>
    <w:p w:rsidR="00510B0B" w:rsidRPr="00A8751B" w:rsidRDefault="00510B0B" w:rsidP="001B4D6A">
      <w:pPr>
        <w:rPr>
          <w:rFonts w:ascii="Arial" w:hAnsi="Arial" w:cs="Arial"/>
          <w:sz w:val="22"/>
          <w:szCs w:val="22"/>
        </w:rPr>
      </w:pPr>
    </w:p>
    <w:p w:rsidR="00510B0B" w:rsidRDefault="00510B0B" w:rsidP="001B4D6A">
      <w:pPr>
        <w:rPr>
          <w:rFonts w:ascii="Arial" w:hAnsi="Arial" w:cs="Arial"/>
          <w:sz w:val="22"/>
          <w:szCs w:val="22"/>
        </w:rPr>
      </w:pPr>
      <w:r w:rsidRPr="00A8751B">
        <w:rPr>
          <w:rFonts w:ascii="Arial" w:hAnsi="Arial" w:cs="Arial"/>
          <w:sz w:val="22"/>
          <w:szCs w:val="22"/>
        </w:rPr>
        <w:t xml:space="preserve">The annual Graduate Survey summaries have been a mainstay of what Career Services has been reporting and by which success has been </w:t>
      </w:r>
      <w:r w:rsidR="00757CC6">
        <w:rPr>
          <w:rFonts w:ascii="Arial" w:hAnsi="Arial" w:cs="Arial"/>
          <w:sz w:val="22"/>
          <w:szCs w:val="22"/>
        </w:rPr>
        <w:t>m</w:t>
      </w:r>
      <w:r w:rsidR="00C92393">
        <w:rPr>
          <w:rFonts w:ascii="Arial" w:hAnsi="Arial" w:cs="Arial"/>
          <w:sz w:val="22"/>
          <w:szCs w:val="22"/>
        </w:rPr>
        <w:t>easured. The data collected has</w:t>
      </w:r>
      <w:r w:rsidRPr="00A8751B">
        <w:rPr>
          <w:rFonts w:ascii="Arial" w:hAnsi="Arial" w:cs="Arial"/>
          <w:sz w:val="22"/>
          <w:szCs w:val="22"/>
        </w:rPr>
        <w:t xml:space="preserve"> </w:t>
      </w:r>
      <w:r w:rsidR="008D789A">
        <w:rPr>
          <w:rFonts w:ascii="Arial" w:hAnsi="Arial" w:cs="Arial"/>
          <w:sz w:val="22"/>
          <w:szCs w:val="22"/>
        </w:rPr>
        <w:t>historically</w:t>
      </w:r>
      <w:r w:rsidRPr="00A8751B">
        <w:rPr>
          <w:rFonts w:ascii="Arial" w:hAnsi="Arial" w:cs="Arial"/>
          <w:sz w:val="22"/>
          <w:szCs w:val="22"/>
        </w:rPr>
        <w:t xml:space="preserve"> been based upon </w:t>
      </w:r>
      <w:r w:rsidR="00757CC6">
        <w:rPr>
          <w:rFonts w:ascii="Arial" w:hAnsi="Arial" w:cs="Arial"/>
          <w:sz w:val="22"/>
          <w:szCs w:val="22"/>
        </w:rPr>
        <w:t xml:space="preserve">a </w:t>
      </w:r>
      <w:r w:rsidRPr="00A8751B">
        <w:rPr>
          <w:rFonts w:ascii="Arial" w:hAnsi="Arial" w:cs="Arial"/>
          <w:sz w:val="22"/>
          <w:szCs w:val="22"/>
        </w:rPr>
        <w:t>100% response rate. Graduates from Montana Tech continue to have excellent starting salaries and find em</w:t>
      </w:r>
      <w:r w:rsidR="00A138FE">
        <w:rPr>
          <w:rFonts w:ascii="Arial" w:hAnsi="Arial" w:cs="Arial"/>
          <w:sz w:val="22"/>
          <w:szCs w:val="22"/>
        </w:rPr>
        <w:t>ployment in their field</w:t>
      </w:r>
      <w:r w:rsidRPr="00A8751B">
        <w:rPr>
          <w:rFonts w:ascii="Arial" w:hAnsi="Arial" w:cs="Arial"/>
          <w:sz w:val="22"/>
          <w:szCs w:val="22"/>
        </w:rPr>
        <w:t xml:space="preserve">. In 2008, a new webpage was created that highlights the current annual graduate survey summary data. The past 10 years of surveys are available online at </w:t>
      </w:r>
      <w:hyperlink r:id="rId63" w:anchor="grad" w:history="1">
        <w:r w:rsidR="00151C0B">
          <w:rPr>
            <w:rStyle w:val="Hyperlink"/>
            <w:rFonts w:ascii="Arial" w:hAnsi="Arial" w:cs="Arial"/>
            <w:sz w:val="22"/>
            <w:szCs w:val="22"/>
          </w:rPr>
          <w:t>MT Tech | Career Services | Surveys</w:t>
        </w:r>
      </w:hyperlink>
      <w:r w:rsidR="00757CC6">
        <w:rPr>
          <w:rFonts w:ascii="Arial" w:hAnsi="Arial" w:cs="Arial"/>
          <w:sz w:val="22"/>
          <w:szCs w:val="22"/>
        </w:rPr>
        <w:t xml:space="preserve"> In Figure</w:t>
      </w:r>
      <w:r w:rsidR="00444C61">
        <w:rPr>
          <w:rFonts w:ascii="Arial" w:hAnsi="Arial" w:cs="Arial"/>
          <w:sz w:val="22"/>
          <w:szCs w:val="22"/>
        </w:rPr>
        <w:t xml:space="preserve"> 3.D.8</w:t>
      </w:r>
      <w:r w:rsidRPr="00A8751B">
        <w:rPr>
          <w:rFonts w:ascii="Arial" w:hAnsi="Arial" w:cs="Arial"/>
          <w:sz w:val="22"/>
          <w:szCs w:val="22"/>
        </w:rPr>
        <w:t>, the 2008 Graduate Survey data outlines the breakdown of the 99% response rate</w:t>
      </w:r>
      <w:r w:rsidRPr="00832B16">
        <w:rPr>
          <w:rFonts w:ascii="Arial" w:hAnsi="Arial" w:cs="Arial"/>
          <w:sz w:val="22"/>
          <w:szCs w:val="22"/>
        </w:rPr>
        <w:t>. (</w:t>
      </w:r>
      <w:r w:rsidR="00B76FC9">
        <w:rPr>
          <w:rFonts w:ascii="Arial" w:hAnsi="Arial" w:cs="Arial"/>
          <w:sz w:val="22"/>
          <w:szCs w:val="22"/>
        </w:rPr>
        <w:t>S</w:t>
      </w:r>
      <w:r w:rsidR="002900B4" w:rsidRPr="00832B16">
        <w:rPr>
          <w:rFonts w:ascii="Arial" w:hAnsi="Arial" w:cs="Arial"/>
          <w:sz w:val="22"/>
          <w:szCs w:val="22"/>
        </w:rPr>
        <w:t xml:space="preserve">ee </w:t>
      </w:r>
      <w:r w:rsidR="00832B16" w:rsidRPr="00832B16">
        <w:rPr>
          <w:rFonts w:ascii="Arial" w:hAnsi="Arial" w:cs="Arial"/>
          <w:sz w:val="22"/>
          <w:szCs w:val="22"/>
        </w:rPr>
        <w:t>Exhibit 3.D.VI</w:t>
      </w:r>
      <w:r w:rsidR="00444C61">
        <w:rPr>
          <w:rFonts w:ascii="Arial" w:hAnsi="Arial" w:cs="Arial"/>
          <w:sz w:val="22"/>
          <w:szCs w:val="22"/>
        </w:rPr>
        <w:t>I</w:t>
      </w:r>
      <w:r w:rsidR="00B76FC9">
        <w:rPr>
          <w:rFonts w:ascii="Arial" w:hAnsi="Arial" w:cs="Arial"/>
          <w:sz w:val="22"/>
          <w:szCs w:val="22"/>
        </w:rPr>
        <w:t>:</w:t>
      </w:r>
      <w:r w:rsidRPr="00832B16">
        <w:rPr>
          <w:rFonts w:ascii="Arial" w:hAnsi="Arial" w:cs="Arial"/>
          <w:sz w:val="22"/>
          <w:szCs w:val="22"/>
        </w:rPr>
        <w:t xml:space="preserve"> 2008 </w:t>
      </w:r>
      <w:hyperlink r:id="rId64" w:history="1">
        <w:r w:rsidRPr="00151C0B">
          <w:rPr>
            <w:rStyle w:val="Hyperlink"/>
            <w:rFonts w:ascii="Arial" w:hAnsi="Arial" w:cs="Arial"/>
            <w:i/>
            <w:sz w:val="22"/>
            <w:szCs w:val="22"/>
          </w:rPr>
          <w:t>Graduate Survey</w:t>
        </w:r>
      </w:hyperlink>
      <w:r w:rsidR="002900B4" w:rsidRPr="00832B16">
        <w:rPr>
          <w:rFonts w:ascii="Arial" w:hAnsi="Arial" w:cs="Arial"/>
          <w:sz w:val="22"/>
          <w:szCs w:val="22"/>
        </w:rPr>
        <w:t xml:space="preserve"> for additional information.)</w:t>
      </w:r>
    </w:p>
    <w:p w:rsidR="00F819CE" w:rsidRPr="00A8751B" w:rsidRDefault="00F819CE" w:rsidP="001B4D6A">
      <w:pPr>
        <w:rPr>
          <w:rFonts w:ascii="Arial" w:hAnsi="Arial" w:cs="Arial"/>
          <w:sz w:val="22"/>
          <w:szCs w:val="22"/>
        </w:rPr>
      </w:pPr>
    </w:p>
    <w:p w:rsidR="00510B0B" w:rsidRPr="00A8751B" w:rsidRDefault="002B1894" w:rsidP="001B4D6A">
      <w:pPr>
        <w:jc w:val="center"/>
        <w:rPr>
          <w:rFonts w:ascii="Arial" w:hAnsi="Arial" w:cs="Arial"/>
          <w:sz w:val="22"/>
          <w:szCs w:val="22"/>
        </w:rPr>
      </w:pPr>
      <w:r>
        <w:rPr>
          <w:rFonts w:ascii="Arial" w:hAnsi="Arial" w:cs="Arial"/>
          <w:noProof/>
          <w:sz w:val="22"/>
          <w:szCs w:val="22"/>
          <w:lang w:eastAsia="en-US"/>
        </w:rPr>
        <w:drawing>
          <wp:inline distT="0" distB="0" distL="0" distR="0">
            <wp:extent cx="4596765" cy="2658110"/>
            <wp:effectExtent l="19050" t="0" r="0" b="0"/>
            <wp:docPr id="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srcRect/>
                    <a:stretch>
                      <a:fillRect/>
                    </a:stretch>
                  </pic:blipFill>
                  <pic:spPr bwMode="auto">
                    <a:xfrm>
                      <a:off x="0" y="0"/>
                      <a:ext cx="4596765" cy="2658110"/>
                    </a:xfrm>
                    <a:prstGeom prst="rect">
                      <a:avLst/>
                    </a:prstGeom>
                    <a:noFill/>
                  </pic:spPr>
                </pic:pic>
              </a:graphicData>
            </a:graphic>
          </wp:inline>
        </w:drawing>
      </w:r>
    </w:p>
    <w:p w:rsidR="00510B0B" w:rsidRPr="002B1894" w:rsidRDefault="00510B0B" w:rsidP="001B4D6A">
      <w:pPr>
        <w:rPr>
          <w:rFonts w:ascii="Arial" w:hAnsi="Arial" w:cs="Arial"/>
          <w:b/>
          <w:sz w:val="22"/>
          <w:szCs w:val="22"/>
        </w:rPr>
      </w:pPr>
    </w:p>
    <w:p w:rsidR="002900B4" w:rsidRPr="00906FAA" w:rsidRDefault="002900B4" w:rsidP="001B4D6A">
      <w:pPr>
        <w:jc w:val="center"/>
        <w:rPr>
          <w:rFonts w:ascii="Arial" w:hAnsi="Arial" w:cs="Arial"/>
          <w:b/>
          <w:sz w:val="22"/>
          <w:szCs w:val="22"/>
        </w:rPr>
      </w:pPr>
      <w:r>
        <w:rPr>
          <w:rFonts w:ascii="Arial" w:hAnsi="Arial" w:cs="Arial"/>
          <w:b/>
          <w:sz w:val="22"/>
          <w:szCs w:val="22"/>
        </w:rPr>
        <w:t>Figure</w:t>
      </w:r>
      <w:r w:rsidR="00444C61">
        <w:rPr>
          <w:rFonts w:ascii="Arial" w:hAnsi="Arial" w:cs="Arial"/>
          <w:b/>
          <w:sz w:val="22"/>
          <w:szCs w:val="22"/>
        </w:rPr>
        <w:t xml:space="preserve"> 3.D.8</w:t>
      </w:r>
      <w:r>
        <w:rPr>
          <w:rFonts w:ascii="Arial" w:hAnsi="Arial" w:cs="Arial"/>
          <w:b/>
          <w:sz w:val="22"/>
          <w:szCs w:val="22"/>
        </w:rPr>
        <w:t>:  2008 Graduate Survey</w:t>
      </w:r>
    </w:p>
    <w:p w:rsidR="00510B0B" w:rsidRPr="00A8751B" w:rsidRDefault="00510B0B" w:rsidP="001B4D6A">
      <w:pPr>
        <w:rPr>
          <w:rFonts w:ascii="Arial" w:hAnsi="Arial" w:cs="Arial"/>
          <w:sz w:val="22"/>
          <w:szCs w:val="22"/>
        </w:rPr>
      </w:pPr>
    </w:p>
    <w:p w:rsidR="00510B0B" w:rsidRPr="00A8751B" w:rsidRDefault="00510B0B" w:rsidP="001B4D6A">
      <w:pPr>
        <w:rPr>
          <w:rFonts w:ascii="Arial" w:hAnsi="Arial" w:cs="Arial"/>
          <w:sz w:val="22"/>
          <w:szCs w:val="22"/>
        </w:rPr>
      </w:pPr>
      <w:r w:rsidRPr="00A8751B">
        <w:rPr>
          <w:rFonts w:ascii="Arial" w:hAnsi="Arial" w:cs="Arial"/>
          <w:sz w:val="22"/>
          <w:szCs w:val="22"/>
        </w:rPr>
        <w:lastRenderedPageBreak/>
        <w:t xml:space="preserve">Student &amp; Employer Satisfaction surveys have been </w:t>
      </w:r>
      <w:r w:rsidR="002900B4">
        <w:rPr>
          <w:rFonts w:ascii="Arial" w:hAnsi="Arial" w:cs="Arial"/>
          <w:sz w:val="22"/>
          <w:szCs w:val="22"/>
        </w:rPr>
        <w:t>done on</w:t>
      </w:r>
      <w:r w:rsidRPr="00A8751B">
        <w:rPr>
          <w:rFonts w:ascii="Arial" w:hAnsi="Arial" w:cs="Arial"/>
          <w:sz w:val="22"/>
          <w:szCs w:val="22"/>
        </w:rPr>
        <w:t xml:space="preserve"> specific events </w:t>
      </w:r>
      <w:r w:rsidR="002900B4">
        <w:rPr>
          <w:rFonts w:ascii="Arial" w:hAnsi="Arial" w:cs="Arial"/>
          <w:sz w:val="22"/>
          <w:szCs w:val="22"/>
        </w:rPr>
        <w:t xml:space="preserve">and </w:t>
      </w:r>
      <w:r w:rsidR="000E507C">
        <w:rPr>
          <w:rFonts w:ascii="Arial" w:hAnsi="Arial" w:cs="Arial"/>
          <w:sz w:val="22"/>
          <w:szCs w:val="22"/>
        </w:rPr>
        <w:t>for</w:t>
      </w:r>
      <w:r w:rsidRPr="00A8751B">
        <w:rPr>
          <w:rFonts w:ascii="Arial" w:hAnsi="Arial" w:cs="Arial"/>
          <w:sz w:val="22"/>
          <w:szCs w:val="22"/>
        </w:rPr>
        <w:t xml:space="preserve"> programs provided by Career Services. </w:t>
      </w:r>
      <w:r w:rsidR="00C92393">
        <w:rPr>
          <w:rFonts w:ascii="Arial" w:hAnsi="Arial" w:cs="Arial"/>
          <w:sz w:val="22"/>
          <w:szCs w:val="22"/>
        </w:rPr>
        <w:t>For example, survey data is</w:t>
      </w:r>
      <w:r w:rsidRPr="00A8751B">
        <w:rPr>
          <w:rFonts w:ascii="Arial" w:hAnsi="Arial" w:cs="Arial"/>
          <w:sz w:val="22"/>
          <w:szCs w:val="22"/>
        </w:rPr>
        <w:t xml:space="preserve"> collected and reviewed by Career Services from career fair employers and student participants, on-campus recruiters, </w:t>
      </w:r>
      <w:r w:rsidR="0018238E">
        <w:rPr>
          <w:rFonts w:ascii="Arial" w:hAnsi="Arial" w:cs="Arial"/>
          <w:sz w:val="22"/>
          <w:szCs w:val="22"/>
        </w:rPr>
        <w:t xml:space="preserve">and from </w:t>
      </w:r>
      <w:r w:rsidRPr="00A8751B">
        <w:rPr>
          <w:rFonts w:ascii="Arial" w:hAnsi="Arial" w:cs="Arial"/>
          <w:sz w:val="22"/>
          <w:szCs w:val="22"/>
        </w:rPr>
        <w:t>workshop participants</w:t>
      </w:r>
      <w:r w:rsidR="00167636">
        <w:rPr>
          <w:rFonts w:ascii="Arial" w:hAnsi="Arial" w:cs="Arial"/>
          <w:sz w:val="22"/>
          <w:szCs w:val="22"/>
        </w:rPr>
        <w:t xml:space="preserve">.  Thus, any </w:t>
      </w:r>
      <w:r w:rsidR="00167636" w:rsidRPr="00A8751B">
        <w:rPr>
          <w:rFonts w:ascii="Arial" w:hAnsi="Arial" w:cs="Arial"/>
          <w:sz w:val="22"/>
          <w:szCs w:val="22"/>
        </w:rPr>
        <w:t>improvements</w:t>
      </w:r>
      <w:r w:rsidRPr="00A8751B">
        <w:rPr>
          <w:rFonts w:ascii="Arial" w:hAnsi="Arial" w:cs="Arial"/>
          <w:sz w:val="22"/>
          <w:szCs w:val="22"/>
        </w:rPr>
        <w:t xml:space="preserve"> in programming or services are based upon </w:t>
      </w:r>
      <w:r w:rsidR="00167636">
        <w:rPr>
          <w:rFonts w:ascii="Arial" w:hAnsi="Arial" w:cs="Arial"/>
          <w:sz w:val="22"/>
          <w:szCs w:val="22"/>
        </w:rPr>
        <w:t xml:space="preserve">solid </w:t>
      </w:r>
      <w:r w:rsidRPr="00A8751B">
        <w:rPr>
          <w:rFonts w:ascii="Arial" w:hAnsi="Arial" w:cs="Arial"/>
          <w:sz w:val="22"/>
          <w:szCs w:val="22"/>
        </w:rPr>
        <w:t xml:space="preserve">feedback.  </w:t>
      </w:r>
      <w:r w:rsidR="00167636">
        <w:rPr>
          <w:rFonts w:ascii="Arial" w:hAnsi="Arial" w:cs="Arial"/>
          <w:sz w:val="22"/>
          <w:szCs w:val="22"/>
        </w:rPr>
        <w:t>Moreover, a</w:t>
      </w:r>
      <w:r w:rsidRPr="00A8751B">
        <w:rPr>
          <w:rFonts w:ascii="Arial" w:hAnsi="Arial" w:cs="Arial"/>
          <w:sz w:val="22"/>
          <w:szCs w:val="22"/>
        </w:rPr>
        <w:t xml:space="preserve">n overall comprehensive satisfaction survey is planned as part of the future assessment. </w:t>
      </w:r>
      <w:r w:rsidR="00167636">
        <w:rPr>
          <w:rFonts w:ascii="Arial" w:hAnsi="Arial" w:cs="Arial"/>
          <w:sz w:val="22"/>
          <w:szCs w:val="22"/>
        </w:rPr>
        <w:t>Here, s</w:t>
      </w:r>
      <w:r w:rsidRPr="00A8751B">
        <w:rPr>
          <w:rFonts w:ascii="Arial" w:hAnsi="Arial" w:cs="Arial"/>
          <w:sz w:val="22"/>
          <w:szCs w:val="22"/>
        </w:rPr>
        <w:t xml:space="preserve">uggestions </w:t>
      </w:r>
      <w:r w:rsidR="00167636">
        <w:rPr>
          <w:rFonts w:ascii="Arial" w:hAnsi="Arial" w:cs="Arial"/>
          <w:sz w:val="22"/>
          <w:szCs w:val="22"/>
        </w:rPr>
        <w:t xml:space="preserve">on </w:t>
      </w:r>
      <w:r w:rsidRPr="00A8751B">
        <w:rPr>
          <w:rFonts w:ascii="Arial" w:hAnsi="Arial" w:cs="Arial"/>
          <w:sz w:val="22"/>
          <w:szCs w:val="22"/>
        </w:rPr>
        <w:t xml:space="preserve">additional programs are </w:t>
      </w:r>
      <w:r w:rsidR="00167636">
        <w:rPr>
          <w:rFonts w:ascii="Arial" w:hAnsi="Arial" w:cs="Arial"/>
          <w:sz w:val="22"/>
          <w:szCs w:val="22"/>
        </w:rPr>
        <w:t xml:space="preserve">to be </w:t>
      </w:r>
      <w:r w:rsidRPr="00A8751B">
        <w:rPr>
          <w:rFonts w:ascii="Arial" w:hAnsi="Arial" w:cs="Arial"/>
          <w:sz w:val="22"/>
          <w:szCs w:val="22"/>
        </w:rPr>
        <w:t>identified and taken i</w:t>
      </w:r>
      <w:r w:rsidR="00167636">
        <w:rPr>
          <w:rFonts w:ascii="Arial" w:hAnsi="Arial" w:cs="Arial"/>
          <w:sz w:val="22"/>
          <w:szCs w:val="22"/>
        </w:rPr>
        <w:t xml:space="preserve">nto consideration from survey </w:t>
      </w:r>
      <w:r w:rsidRPr="00A8751B">
        <w:rPr>
          <w:rFonts w:ascii="Arial" w:hAnsi="Arial" w:cs="Arial"/>
          <w:sz w:val="22"/>
          <w:szCs w:val="22"/>
        </w:rPr>
        <w:t>feedback.</w:t>
      </w:r>
    </w:p>
    <w:p w:rsidR="00EA7829" w:rsidRDefault="00EA7829" w:rsidP="001B4D6A">
      <w:pPr>
        <w:rPr>
          <w:rFonts w:ascii="Arial" w:hAnsi="Arial" w:cs="Arial"/>
          <w:color w:val="0000CC"/>
          <w:sz w:val="22"/>
          <w:szCs w:val="22"/>
        </w:rPr>
      </w:pPr>
    </w:p>
    <w:p w:rsidR="004D2808" w:rsidRDefault="009A392B" w:rsidP="001B4D6A">
      <w:pPr>
        <w:rPr>
          <w:rFonts w:ascii="Arial" w:hAnsi="Arial" w:cs="Arial"/>
          <w:b/>
          <w:sz w:val="22"/>
          <w:szCs w:val="22"/>
        </w:rPr>
      </w:pPr>
      <w:r>
        <w:rPr>
          <w:rFonts w:ascii="Arial" w:hAnsi="Arial" w:cs="Arial"/>
          <w:b/>
          <w:sz w:val="22"/>
          <w:szCs w:val="22"/>
        </w:rPr>
        <w:t>3.D.12</w:t>
      </w:r>
      <w:r>
        <w:rPr>
          <w:rFonts w:ascii="Arial" w:hAnsi="Arial" w:cs="Arial"/>
          <w:b/>
          <w:sz w:val="22"/>
          <w:szCs w:val="22"/>
        </w:rPr>
        <w:tab/>
      </w:r>
      <w:r w:rsidR="004D2808" w:rsidRPr="004D2808">
        <w:rPr>
          <w:rFonts w:ascii="Arial" w:hAnsi="Arial" w:cs="Arial"/>
          <w:b/>
          <w:sz w:val="22"/>
          <w:szCs w:val="22"/>
        </w:rPr>
        <w:t>Professional health care, including psychological health and relevant health education, is readily available to residential students and to other students, as appropriate.</w:t>
      </w:r>
    </w:p>
    <w:p w:rsidR="00C3388F" w:rsidRDefault="00C3388F" w:rsidP="001B4D6A">
      <w:pPr>
        <w:rPr>
          <w:rFonts w:ascii="Arial" w:hAnsi="Arial" w:cs="Arial"/>
          <w:b/>
          <w:color w:val="0033CC"/>
          <w:sz w:val="22"/>
          <w:szCs w:val="22"/>
        </w:rPr>
      </w:pPr>
    </w:p>
    <w:p w:rsidR="00D82B3C" w:rsidRDefault="00125645" w:rsidP="001B4D6A">
      <w:pPr>
        <w:rPr>
          <w:rFonts w:ascii="Arial" w:hAnsi="Arial" w:cs="Arial"/>
          <w:sz w:val="22"/>
          <w:szCs w:val="22"/>
        </w:rPr>
      </w:pPr>
      <w:r>
        <w:rPr>
          <w:rFonts w:ascii="Arial" w:hAnsi="Arial" w:cs="Arial"/>
          <w:sz w:val="22"/>
          <w:szCs w:val="22"/>
        </w:rPr>
        <w:t>At the end of the 2009/2010</w:t>
      </w:r>
      <w:r w:rsidR="00C3388F" w:rsidRPr="008B0519">
        <w:rPr>
          <w:rFonts w:ascii="Arial" w:hAnsi="Arial" w:cs="Arial"/>
          <w:sz w:val="22"/>
          <w:szCs w:val="22"/>
        </w:rPr>
        <w:t xml:space="preserve"> academic year, </w:t>
      </w:r>
      <w:r w:rsidR="002D5B5B" w:rsidRPr="008B0519">
        <w:rPr>
          <w:rFonts w:ascii="Arial" w:hAnsi="Arial" w:cs="Arial"/>
          <w:sz w:val="22"/>
          <w:szCs w:val="22"/>
        </w:rPr>
        <w:t>the Health</w:t>
      </w:r>
      <w:r w:rsidR="007B6096" w:rsidRPr="008B0519">
        <w:rPr>
          <w:rFonts w:ascii="Arial" w:hAnsi="Arial" w:cs="Arial"/>
          <w:sz w:val="22"/>
          <w:szCs w:val="22"/>
        </w:rPr>
        <w:t xml:space="preserve"> Center</w:t>
      </w:r>
      <w:r w:rsidR="00C3388F" w:rsidRPr="008B0519">
        <w:rPr>
          <w:rFonts w:ascii="Arial" w:hAnsi="Arial" w:cs="Arial"/>
          <w:sz w:val="22"/>
          <w:szCs w:val="22"/>
        </w:rPr>
        <w:t xml:space="preserve"> </w:t>
      </w:r>
      <w:r w:rsidR="00E91F32" w:rsidRPr="008B0519">
        <w:rPr>
          <w:rFonts w:ascii="Arial" w:hAnsi="Arial" w:cs="Arial"/>
          <w:sz w:val="22"/>
          <w:szCs w:val="22"/>
        </w:rPr>
        <w:t>will</w:t>
      </w:r>
      <w:r w:rsidR="00C3388F" w:rsidRPr="008B0519">
        <w:rPr>
          <w:rFonts w:ascii="Arial" w:hAnsi="Arial" w:cs="Arial"/>
          <w:sz w:val="22"/>
          <w:szCs w:val="22"/>
        </w:rPr>
        <w:t xml:space="preserve"> celebrate 25</w:t>
      </w:r>
      <w:r w:rsidR="0093372C">
        <w:rPr>
          <w:rFonts w:ascii="Arial" w:hAnsi="Arial" w:cs="Arial"/>
          <w:sz w:val="22"/>
          <w:szCs w:val="22"/>
        </w:rPr>
        <w:t xml:space="preserve"> years of service to student</w:t>
      </w:r>
      <w:r w:rsidR="00A61D42">
        <w:rPr>
          <w:rFonts w:ascii="Arial" w:hAnsi="Arial" w:cs="Arial"/>
          <w:sz w:val="22"/>
          <w:szCs w:val="22"/>
        </w:rPr>
        <w:t>s</w:t>
      </w:r>
      <w:r w:rsidR="0093372C">
        <w:rPr>
          <w:rFonts w:ascii="Arial" w:hAnsi="Arial" w:cs="Arial"/>
          <w:sz w:val="22"/>
          <w:szCs w:val="22"/>
        </w:rPr>
        <w:t xml:space="preserve">. </w:t>
      </w:r>
      <w:r w:rsidR="00832B16">
        <w:rPr>
          <w:rFonts w:ascii="Arial" w:hAnsi="Arial" w:cs="Arial"/>
          <w:sz w:val="22"/>
          <w:szCs w:val="22"/>
        </w:rPr>
        <w:t>(See Exhibit 3.D.VI</w:t>
      </w:r>
      <w:r w:rsidR="00444C61">
        <w:rPr>
          <w:rFonts w:ascii="Arial" w:hAnsi="Arial" w:cs="Arial"/>
          <w:sz w:val="22"/>
          <w:szCs w:val="22"/>
        </w:rPr>
        <w:t>I</w:t>
      </w:r>
      <w:r w:rsidR="00832B16">
        <w:rPr>
          <w:rFonts w:ascii="Arial" w:hAnsi="Arial" w:cs="Arial"/>
          <w:sz w:val="22"/>
          <w:szCs w:val="22"/>
        </w:rPr>
        <w:t>I:</w:t>
      </w:r>
      <w:r w:rsidR="00167636">
        <w:rPr>
          <w:rFonts w:ascii="Arial" w:hAnsi="Arial" w:cs="Arial"/>
          <w:sz w:val="22"/>
          <w:szCs w:val="22"/>
        </w:rPr>
        <w:t xml:space="preserve"> </w:t>
      </w:r>
      <w:hyperlink r:id="rId66" w:history="1">
        <w:r w:rsidR="00B956B1" w:rsidRPr="00FD4CCC">
          <w:rPr>
            <w:rStyle w:val="Hyperlink"/>
            <w:rFonts w:ascii="Arial" w:hAnsi="Arial" w:cs="Arial"/>
            <w:i/>
            <w:sz w:val="22"/>
            <w:szCs w:val="22"/>
          </w:rPr>
          <w:t>Health Center User Statistics</w:t>
        </w:r>
      </w:hyperlink>
      <w:r w:rsidR="00167636">
        <w:t>.)</w:t>
      </w:r>
      <w:r w:rsidR="00B956B1">
        <w:rPr>
          <w:rFonts w:ascii="Arial" w:hAnsi="Arial" w:cs="Arial"/>
          <w:sz w:val="22"/>
          <w:szCs w:val="22"/>
        </w:rPr>
        <w:t xml:space="preserve"> </w:t>
      </w:r>
    </w:p>
    <w:p w:rsidR="0091663F" w:rsidRDefault="0091663F" w:rsidP="001B4D6A">
      <w:pPr>
        <w:rPr>
          <w:rFonts w:ascii="Arial" w:hAnsi="Arial" w:cs="Arial"/>
          <w:sz w:val="20"/>
          <w:szCs w:val="20"/>
        </w:rPr>
      </w:pPr>
    </w:p>
    <w:p w:rsidR="00D863DD" w:rsidRDefault="002D5B5B" w:rsidP="001B4D6A">
      <w:pPr>
        <w:rPr>
          <w:rFonts w:ascii="Arial" w:hAnsi="Arial" w:cs="Arial"/>
          <w:color w:val="000000" w:themeColor="text1"/>
          <w:sz w:val="22"/>
          <w:szCs w:val="22"/>
        </w:rPr>
      </w:pPr>
      <w:r w:rsidRPr="008B0519">
        <w:rPr>
          <w:rFonts w:ascii="Arial" w:hAnsi="Arial" w:cs="Arial"/>
          <w:sz w:val="22"/>
          <w:szCs w:val="22"/>
        </w:rPr>
        <w:t>Montana Tech’s Student Health Center is staffed four hours a day (10 a.m. to 2 p.m.)</w:t>
      </w:r>
      <w:r w:rsidR="00125645">
        <w:rPr>
          <w:rFonts w:ascii="Arial" w:hAnsi="Arial" w:cs="Arial"/>
          <w:sz w:val="22"/>
          <w:szCs w:val="22"/>
        </w:rPr>
        <w:t>.</w:t>
      </w:r>
      <w:r w:rsidRPr="008B0519">
        <w:rPr>
          <w:rFonts w:ascii="Arial" w:hAnsi="Arial" w:cs="Arial"/>
          <w:sz w:val="22"/>
          <w:szCs w:val="22"/>
        </w:rPr>
        <w:t xml:space="preserve">  A nurse is on duty the full four hours</w:t>
      </w:r>
      <w:r w:rsidR="00167636">
        <w:rPr>
          <w:rFonts w:ascii="Arial" w:hAnsi="Arial" w:cs="Arial"/>
          <w:sz w:val="22"/>
          <w:szCs w:val="22"/>
        </w:rPr>
        <w:t>,</w:t>
      </w:r>
      <w:r w:rsidRPr="008B0519">
        <w:rPr>
          <w:rFonts w:ascii="Arial" w:hAnsi="Arial" w:cs="Arial"/>
          <w:sz w:val="22"/>
          <w:szCs w:val="22"/>
        </w:rPr>
        <w:t xml:space="preserve"> and a physician is on duty two hours a day. </w:t>
      </w:r>
      <w:r w:rsidR="000253AC">
        <w:rPr>
          <w:rFonts w:ascii="Arial" w:hAnsi="Arial" w:cs="Arial"/>
          <w:sz w:val="22"/>
          <w:szCs w:val="22"/>
        </w:rPr>
        <w:t>The link to M</w:t>
      </w:r>
      <w:r w:rsidR="00B76FC9">
        <w:rPr>
          <w:rFonts w:ascii="Arial" w:hAnsi="Arial" w:cs="Arial"/>
          <w:sz w:val="22"/>
          <w:szCs w:val="22"/>
        </w:rPr>
        <w:t>ontana Tech’s Health Center is</w:t>
      </w:r>
      <w:r w:rsidR="00167636">
        <w:rPr>
          <w:rFonts w:ascii="Arial" w:hAnsi="Arial" w:cs="Arial"/>
          <w:sz w:val="22"/>
          <w:szCs w:val="22"/>
        </w:rPr>
        <w:t xml:space="preserve"> </w:t>
      </w:r>
      <w:r w:rsidRPr="00C53B39">
        <w:rPr>
          <w:rFonts w:ascii="Arial" w:hAnsi="Arial" w:cs="Arial"/>
          <w:color w:val="0000FF"/>
          <w:sz w:val="22"/>
          <w:szCs w:val="22"/>
          <w:u w:val="single"/>
        </w:rPr>
        <w:t>h</w:t>
      </w:r>
      <w:hyperlink r:id="rId67" w:history="1">
        <w:r w:rsidRPr="00C53B39">
          <w:rPr>
            <w:rStyle w:val="Hyperlink"/>
            <w:rFonts w:ascii="Arial" w:hAnsi="Arial" w:cs="Arial"/>
            <w:sz w:val="22"/>
            <w:szCs w:val="22"/>
          </w:rPr>
          <w:t>ttp://www.mtech.edu/st</w:t>
        </w:r>
        <w:r w:rsidR="000253AC" w:rsidRPr="00C53B39">
          <w:rPr>
            <w:rStyle w:val="Hyperlink"/>
            <w:rFonts w:ascii="Arial" w:hAnsi="Arial" w:cs="Arial"/>
            <w:sz w:val="22"/>
            <w:szCs w:val="22"/>
          </w:rPr>
          <w:t>udent_life/healthcenter.htm</w:t>
        </w:r>
        <w:r w:rsidR="000253AC" w:rsidRPr="00C11A7B">
          <w:rPr>
            <w:rStyle w:val="Hyperlink"/>
            <w:rFonts w:ascii="Arial" w:hAnsi="Arial" w:cs="Arial"/>
            <w:sz w:val="22"/>
            <w:szCs w:val="22"/>
          </w:rPr>
          <w:t xml:space="preserve"> </w:t>
        </w:r>
      </w:hyperlink>
      <w:r w:rsidR="001C5520">
        <w:t>.</w:t>
      </w:r>
      <w:r w:rsidR="00FB3C90">
        <w:rPr>
          <w:rFonts w:ascii="Arial" w:hAnsi="Arial" w:cs="Arial"/>
          <w:color w:val="0000FF"/>
          <w:sz w:val="22"/>
          <w:szCs w:val="22"/>
        </w:rPr>
        <w:t xml:space="preserve"> </w:t>
      </w:r>
      <w:r w:rsidR="001C5520">
        <w:rPr>
          <w:rFonts w:ascii="Arial" w:hAnsi="Arial" w:cs="Arial"/>
          <w:color w:val="0000FF"/>
          <w:sz w:val="22"/>
          <w:szCs w:val="22"/>
        </w:rPr>
        <w:t xml:space="preserve"> </w:t>
      </w:r>
      <w:r w:rsidR="00167636">
        <w:rPr>
          <w:rFonts w:ascii="Arial" w:hAnsi="Arial" w:cs="Arial"/>
          <w:sz w:val="22"/>
          <w:szCs w:val="22"/>
        </w:rPr>
        <w:t>Figure</w:t>
      </w:r>
      <w:r w:rsidR="00444C61">
        <w:rPr>
          <w:rFonts w:ascii="Arial" w:hAnsi="Arial" w:cs="Arial"/>
          <w:sz w:val="22"/>
          <w:szCs w:val="22"/>
        </w:rPr>
        <w:t xml:space="preserve"> 3.D.9 </w:t>
      </w:r>
      <w:r w:rsidR="00C37DAA" w:rsidRPr="00C37DAA">
        <w:rPr>
          <w:rFonts w:ascii="Arial" w:hAnsi="Arial" w:cs="Arial"/>
          <w:sz w:val="22"/>
          <w:szCs w:val="22"/>
        </w:rPr>
        <w:t>depicts</w:t>
      </w:r>
      <w:r w:rsidR="00C37DAA">
        <w:rPr>
          <w:rFonts w:ascii="Arial" w:hAnsi="Arial" w:cs="Arial"/>
          <w:color w:val="0000FF"/>
          <w:sz w:val="22"/>
          <w:szCs w:val="22"/>
        </w:rPr>
        <w:t xml:space="preserve"> </w:t>
      </w:r>
      <w:r w:rsidR="00DC2AF7">
        <w:rPr>
          <w:rFonts w:ascii="Arial" w:hAnsi="Arial" w:cs="Arial"/>
          <w:color w:val="000000" w:themeColor="text1"/>
          <w:sz w:val="22"/>
          <w:szCs w:val="22"/>
        </w:rPr>
        <w:t xml:space="preserve">increased </w:t>
      </w:r>
      <w:r w:rsidR="00C37DAA" w:rsidRPr="000253AC">
        <w:rPr>
          <w:rFonts w:ascii="Arial" w:hAnsi="Arial" w:cs="Arial"/>
          <w:sz w:val="22"/>
          <w:szCs w:val="22"/>
        </w:rPr>
        <w:t>s</w:t>
      </w:r>
      <w:r w:rsidR="00FB3C90" w:rsidRPr="000253AC">
        <w:rPr>
          <w:rFonts w:ascii="Arial" w:hAnsi="Arial" w:cs="Arial"/>
          <w:sz w:val="22"/>
          <w:szCs w:val="22"/>
        </w:rPr>
        <w:t>tud</w:t>
      </w:r>
      <w:r w:rsidR="00FB3C90" w:rsidRPr="00FB3C90">
        <w:rPr>
          <w:rFonts w:ascii="Arial" w:hAnsi="Arial" w:cs="Arial"/>
          <w:color w:val="000000" w:themeColor="text1"/>
          <w:sz w:val="22"/>
          <w:szCs w:val="22"/>
        </w:rPr>
        <w:t>ent</w:t>
      </w:r>
      <w:r w:rsidR="00FB3C90">
        <w:rPr>
          <w:rFonts w:ascii="Arial" w:hAnsi="Arial" w:cs="Arial"/>
          <w:color w:val="000000" w:themeColor="text1"/>
          <w:sz w:val="22"/>
          <w:szCs w:val="22"/>
        </w:rPr>
        <w:t xml:space="preserve"> satisfaction </w:t>
      </w:r>
      <w:r w:rsidR="00DC2AF7">
        <w:rPr>
          <w:rFonts w:ascii="Arial" w:hAnsi="Arial" w:cs="Arial"/>
          <w:color w:val="000000" w:themeColor="text1"/>
          <w:sz w:val="22"/>
          <w:szCs w:val="22"/>
        </w:rPr>
        <w:t xml:space="preserve">since 2003 </w:t>
      </w:r>
      <w:r w:rsidR="00FB3C90">
        <w:rPr>
          <w:rFonts w:ascii="Arial" w:hAnsi="Arial" w:cs="Arial"/>
          <w:color w:val="000000" w:themeColor="text1"/>
          <w:sz w:val="22"/>
          <w:szCs w:val="22"/>
        </w:rPr>
        <w:t xml:space="preserve">with </w:t>
      </w:r>
      <w:r w:rsidR="00DC2AF7">
        <w:rPr>
          <w:rFonts w:ascii="Arial" w:hAnsi="Arial" w:cs="Arial"/>
          <w:color w:val="000000" w:themeColor="text1"/>
          <w:sz w:val="22"/>
          <w:szCs w:val="22"/>
        </w:rPr>
        <w:t>the competent staff</w:t>
      </w:r>
      <w:r w:rsidR="001C5520">
        <w:rPr>
          <w:rFonts w:ascii="Arial" w:hAnsi="Arial" w:cs="Arial"/>
          <w:color w:val="000000" w:themeColor="text1"/>
          <w:sz w:val="22"/>
          <w:szCs w:val="22"/>
        </w:rPr>
        <w:t xml:space="preserve"> in the Health Center.</w:t>
      </w:r>
    </w:p>
    <w:p w:rsidR="00D863DD" w:rsidRDefault="00D863DD" w:rsidP="001B4D6A">
      <w:pPr>
        <w:rPr>
          <w:rFonts w:ascii="Arial" w:hAnsi="Arial" w:cs="Arial"/>
          <w:color w:val="000000" w:themeColor="text1"/>
          <w:sz w:val="22"/>
          <w:szCs w:val="22"/>
        </w:rPr>
      </w:pPr>
    </w:p>
    <w:p w:rsidR="0093372C" w:rsidRPr="00AB1C7D" w:rsidRDefault="00CE1FC4" w:rsidP="001B4D6A">
      <w:pPr>
        <w:jc w:val="center"/>
        <w:rPr>
          <w:rFonts w:ascii="Arial" w:hAnsi="Arial" w:cs="Arial"/>
          <w:color w:val="0000FF"/>
          <w:sz w:val="22"/>
          <w:szCs w:val="22"/>
        </w:rPr>
      </w:pPr>
      <w:r w:rsidRPr="00CE1FC4">
        <w:rPr>
          <w:noProof/>
          <w:szCs w:val="22"/>
          <w:lang w:eastAsia="en-US"/>
        </w:rPr>
        <w:drawing>
          <wp:inline distT="0" distB="0" distL="0" distR="0">
            <wp:extent cx="4687910" cy="3200400"/>
            <wp:effectExtent l="0" t="0" r="0"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93372C" w:rsidRDefault="0093372C" w:rsidP="001B4D6A">
      <w:pPr>
        <w:rPr>
          <w:rFonts w:ascii="Arial" w:hAnsi="Arial" w:cs="Arial"/>
          <w:sz w:val="22"/>
          <w:szCs w:val="22"/>
        </w:rPr>
      </w:pPr>
    </w:p>
    <w:p w:rsidR="00167636" w:rsidRDefault="0093372C" w:rsidP="001B4D6A">
      <w:pPr>
        <w:jc w:val="center"/>
        <w:rPr>
          <w:rFonts w:ascii="Arial" w:hAnsi="Arial" w:cs="Arial"/>
          <w:color w:val="000000" w:themeColor="text1"/>
          <w:sz w:val="22"/>
          <w:szCs w:val="22"/>
        </w:rPr>
      </w:pPr>
      <w:r w:rsidRPr="008B0519">
        <w:rPr>
          <w:rFonts w:ascii="Arial" w:hAnsi="Arial" w:cs="Arial"/>
          <w:sz w:val="22"/>
          <w:szCs w:val="22"/>
        </w:rPr>
        <w:t xml:space="preserve"> </w:t>
      </w:r>
      <w:r w:rsidR="00167636">
        <w:rPr>
          <w:rFonts w:ascii="Arial" w:hAnsi="Arial" w:cs="Arial"/>
          <w:b/>
          <w:sz w:val="22"/>
          <w:szCs w:val="22"/>
        </w:rPr>
        <w:t>Figure</w:t>
      </w:r>
      <w:r w:rsidR="00167636" w:rsidRPr="00C37DAA">
        <w:rPr>
          <w:rFonts w:ascii="Arial" w:hAnsi="Arial" w:cs="Arial"/>
          <w:b/>
          <w:sz w:val="22"/>
          <w:szCs w:val="22"/>
        </w:rPr>
        <w:t xml:space="preserve"> 3.D.</w:t>
      </w:r>
      <w:r w:rsidR="00444C61">
        <w:rPr>
          <w:rFonts w:ascii="Arial" w:hAnsi="Arial" w:cs="Arial"/>
          <w:b/>
          <w:sz w:val="22"/>
          <w:szCs w:val="22"/>
        </w:rPr>
        <w:t>9</w:t>
      </w:r>
      <w:r w:rsidR="00167636">
        <w:rPr>
          <w:rFonts w:ascii="Arial" w:hAnsi="Arial" w:cs="Arial"/>
          <w:b/>
          <w:sz w:val="22"/>
          <w:szCs w:val="22"/>
        </w:rPr>
        <w:t>:  Staff Competency</w:t>
      </w:r>
    </w:p>
    <w:p w:rsidR="00C3388F" w:rsidRPr="008B0519" w:rsidRDefault="00C3388F" w:rsidP="001B4D6A">
      <w:pPr>
        <w:rPr>
          <w:rFonts w:ascii="Arial" w:hAnsi="Arial" w:cs="Arial"/>
          <w:sz w:val="22"/>
          <w:szCs w:val="22"/>
        </w:rPr>
      </w:pPr>
    </w:p>
    <w:p w:rsidR="002D5B5B" w:rsidRDefault="00C53B39" w:rsidP="001B4D6A">
      <w:pPr>
        <w:rPr>
          <w:rFonts w:ascii="Arial" w:hAnsi="Arial" w:cs="Arial"/>
          <w:color w:val="0033CC"/>
          <w:sz w:val="22"/>
          <w:szCs w:val="22"/>
        </w:rPr>
      </w:pPr>
      <w:r>
        <w:rPr>
          <w:rFonts w:ascii="Arial" w:hAnsi="Arial" w:cs="Arial"/>
          <w:sz w:val="22"/>
          <w:szCs w:val="22"/>
        </w:rPr>
        <w:t xml:space="preserve">In addition, </w:t>
      </w:r>
      <w:r w:rsidR="002D5B5B" w:rsidRPr="008B0519">
        <w:rPr>
          <w:rFonts w:ascii="Arial" w:hAnsi="Arial" w:cs="Arial"/>
          <w:sz w:val="22"/>
          <w:szCs w:val="22"/>
        </w:rPr>
        <w:t>Montana Tech employs two full-time, li</w:t>
      </w:r>
      <w:r w:rsidR="00C37DAA">
        <w:rPr>
          <w:rFonts w:ascii="Arial" w:hAnsi="Arial" w:cs="Arial"/>
          <w:sz w:val="22"/>
          <w:szCs w:val="22"/>
        </w:rPr>
        <w:t>censed professional therapist</w:t>
      </w:r>
      <w:r w:rsidR="001C5520">
        <w:rPr>
          <w:rFonts w:ascii="Arial" w:hAnsi="Arial" w:cs="Arial"/>
          <w:sz w:val="22"/>
          <w:szCs w:val="22"/>
        </w:rPr>
        <w:t>s</w:t>
      </w:r>
      <w:r w:rsidR="004E6CE1" w:rsidRPr="008B0519">
        <w:rPr>
          <w:rFonts w:ascii="Arial" w:hAnsi="Arial" w:cs="Arial"/>
          <w:sz w:val="22"/>
          <w:szCs w:val="22"/>
        </w:rPr>
        <w:t xml:space="preserve"> who </w:t>
      </w:r>
      <w:r>
        <w:rPr>
          <w:rFonts w:ascii="Arial" w:hAnsi="Arial" w:cs="Arial"/>
          <w:sz w:val="22"/>
          <w:szCs w:val="22"/>
        </w:rPr>
        <w:t>provide</w:t>
      </w:r>
      <w:r w:rsidR="002D5B5B" w:rsidRPr="008B0519">
        <w:rPr>
          <w:rFonts w:ascii="Arial" w:hAnsi="Arial" w:cs="Arial"/>
          <w:sz w:val="22"/>
          <w:szCs w:val="22"/>
        </w:rPr>
        <w:t xml:space="preserve"> </w:t>
      </w:r>
      <w:r>
        <w:rPr>
          <w:rFonts w:ascii="Arial" w:hAnsi="Arial" w:cs="Arial"/>
          <w:sz w:val="22"/>
          <w:szCs w:val="22"/>
        </w:rPr>
        <w:t xml:space="preserve">both </w:t>
      </w:r>
      <w:r w:rsidR="002D5B5B" w:rsidRPr="008B0519">
        <w:rPr>
          <w:rFonts w:ascii="Arial" w:hAnsi="Arial" w:cs="Arial"/>
          <w:sz w:val="22"/>
          <w:szCs w:val="22"/>
        </w:rPr>
        <w:t xml:space="preserve">disability services </w:t>
      </w:r>
      <w:r>
        <w:rPr>
          <w:rFonts w:ascii="Arial" w:hAnsi="Arial" w:cs="Arial"/>
          <w:sz w:val="22"/>
          <w:szCs w:val="22"/>
        </w:rPr>
        <w:t>and</w:t>
      </w:r>
      <w:r w:rsidR="004E6CE1" w:rsidRPr="008B0519">
        <w:rPr>
          <w:rFonts w:ascii="Arial" w:hAnsi="Arial" w:cs="Arial"/>
          <w:sz w:val="22"/>
          <w:szCs w:val="22"/>
        </w:rPr>
        <w:t xml:space="preserve"> </w:t>
      </w:r>
      <w:r w:rsidR="001369EE" w:rsidRPr="008B0519">
        <w:rPr>
          <w:rFonts w:ascii="Arial" w:hAnsi="Arial" w:cs="Arial"/>
          <w:sz w:val="22"/>
          <w:szCs w:val="22"/>
        </w:rPr>
        <w:t xml:space="preserve">personal </w:t>
      </w:r>
      <w:r w:rsidR="001369EE">
        <w:rPr>
          <w:rFonts w:ascii="Arial" w:hAnsi="Arial" w:cs="Arial"/>
          <w:sz w:val="22"/>
          <w:szCs w:val="22"/>
        </w:rPr>
        <w:t>and</w:t>
      </w:r>
      <w:r w:rsidR="004E6CE1" w:rsidRPr="008B0519">
        <w:rPr>
          <w:rFonts w:ascii="Arial" w:hAnsi="Arial" w:cs="Arial"/>
          <w:sz w:val="22"/>
          <w:szCs w:val="22"/>
        </w:rPr>
        <w:t xml:space="preserve"> career counseling </w:t>
      </w:r>
      <w:r w:rsidR="002D5B5B" w:rsidRPr="008B0519">
        <w:rPr>
          <w:rFonts w:ascii="Arial" w:hAnsi="Arial" w:cs="Arial"/>
          <w:sz w:val="22"/>
          <w:szCs w:val="22"/>
        </w:rPr>
        <w:t xml:space="preserve">to students on </w:t>
      </w:r>
      <w:r>
        <w:rPr>
          <w:rFonts w:ascii="Arial" w:hAnsi="Arial" w:cs="Arial"/>
          <w:sz w:val="22"/>
          <w:szCs w:val="22"/>
        </w:rPr>
        <w:t>the North and South</w:t>
      </w:r>
      <w:r w:rsidR="002D5B5B" w:rsidRPr="008B0519">
        <w:rPr>
          <w:rFonts w:ascii="Arial" w:hAnsi="Arial" w:cs="Arial"/>
          <w:sz w:val="22"/>
          <w:szCs w:val="22"/>
        </w:rPr>
        <w:t xml:space="preserve"> campuses. </w:t>
      </w:r>
      <w:r w:rsidR="00125645">
        <w:rPr>
          <w:rFonts w:ascii="Arial" w:hAnsi="Arial" w:cs="Arial"/>
          <w:sz w:val="22"/>
          <w:szCs w:val="22"/>
        </w:rPr>
        <w:t xml:space="preserve">The web link for information on the Student Life Counselors is </w:t>
      </w:r>
    </w:p>
    <w:p w:rsidR="008D1ABF" w:rsidRDefault="00E21B15" w:rsidP="001B4D6A">
      <w:pPr>
        <w:rPr>
          <w:rFonts w:ascii="Arial" w:hAnsi="Arial" w:cs="Arial"/>
          <w:color w:val="0033CC"/>
          <w:sz w:val="22"/>
          <w:szCs w:val="22"/>
        </w:rPr>
      </w:pPr>
      <w:hyperlink r:id="rId69" w:history="1">
        <w:r w:rsidR="003B3E4E" w:rsidRPr="008D1C4E">
          <w:rPr>
            <w:rStyle w:val="Hyperlink"/>
            <w:rFonts w:ascii="Arial" w:hAnsi="Arial" w:cs="Arial"/>
            <w:sz w:val="22"/>
            <w:szCs w:val="22"/>
          </w:rPr>
          <w:t>http://www.mtech.edu/student_life/counseling/</w:t>
        </w:r>
      </w:hyperlink>
      <w:r w:rsidR="00C53B39">
        <w:t>.</w:t>
      </w:r>
    </w:p>
    <w:p w:rsidR="003B3E4E" w:rsidRDefault="003B3E4E" w:rsidP="001B4D6A">
      <w:pPr>
        <w:rPr>
          <w:rFonts w:ascii="Arial" w:hAnsi="Arial" w:cs="Arial"/>
          <w:b/>
          <w:sz w:val="22"/>
          <w:szCs w:val="22"/>
        </w:rPr>
      </w:pPr>
    </w:p>
    <w:p w:rsidR="004D2808" w:rsidRDefault="004D2808" w:rsidP="001B4D6A">
      <w:pPr>
        <w:rPr>
          <w:rFonts w:ascii="Arial" w:hAnsi="Arial" w:cs="Arial"/>
          <w:b/>
          <w:sz w:val="22"/>
          <w:szCs w:val="22"/>
        </w:rPr>
      </w:pPr>
      <w:r w:rsidRPr="004D2808">
        <w:rPr>
          <w:rFonts w:ascii="Arial" w:hAnsi="Arial" w:cs="Arial"/>
          <w:b/>
          <w:sz w:val="22"/>
          <w:szCs w:val="22"/>
        </w:rPr>
        <w:t xml:space="preserve">3.D.13 </w:t>
      </w:r>
      <w:r w:rsidR="009A392B">
        <w:rPr>
          <w:rFonts w:ascii="Arial" w:hAnsi="Arial" w:cs="Arial"/>
          <w:b/>
          <w:sz w:val="22"/>
          <w:szCs w:val="22"/>
        </w:rPr>
        <w:tab/>
      </w:r>
      <w:r w:rsidRPr="004D2808">
        <w:rPr>
          <w:rFonts w:ascii="Arial" w:hAnsi="Arial" w:cs="Arial"/>
          <w:b/>
          <w:sz w:val="22"/>
          <w:szCs w:val="22"/>
        </w:rPr>
        <w:t>Student housing, if provided, is designed and operated to enhance the learning environment. It meets recognized standards of health and safety; it is competently staffed.</w:t>
      </w:r>
    </w:p>
    <w:p w:rsidR="00125645" w:rsidRDefault="00125645" w:rsidP="001B4D6A">
      <w:pPr>
        <w:rPr>
          <w:rFonts w:ascii="Arial" w:hAnsi="Arial" w:cs="Arial"/>
          <w:sz w:val="22"/>
          <w:szCs w:val="22"/>
        </w:rPr>
      </w:pPr>
    </w:p>
    <w:p w:rsidR="00412C73" w:rsidRPr="00382733" w:rsidRDefault="00412C73" w:rsidP="001B4D6A">
      <w:pPr>
        <w:rPr>
          <w:rFonts w:ascii="Arial" w:hAnsi="Arial" w:cs="Arial"/>
          <w:sz w:val="22"/>
          <w:szCs w:val="22"/>
        </w:rPr>
      </w:pPr>
      <w:r w:rsidRPr="00382733">
        <w:rPr>
          <w:rFonts w:ascii="Arial" w:hAnsi="Arial" w:cs="Arial"/>
          <w:sz w:val="22"/>
          <w:szCs w:val="22"/>
        </w:rPr>
        <w:lastRenderedPageBreak/>
        <w:t>The Montana Tech Office of Residence Life is dedicated to assisting students in all facets of residential living and is committed to furthering the college students’ developme</w:t>
      </w:r>
      <w:r w:rsidR="00C53B39">
        <w:rPr>
          <w:rFonts w:ascii="Arial" w:hAnsi="Arial" w:cs="Arial"/>
          <w:sz w:val="22"/>
          <w:szCs w:val="22"/>
        </w:rPr>
        <w:t>nt outside the classroom. Its</w:t>
      </w:r>
      <w:r w:rsidRPr="00382733">
        <w:rPr>
          <w:rFonts w:ascii="Arial" w:hAnsi="Arial" w:cs="Arial"/>
          <w:sz w:val="22"/>
          <w:szCs w:val="22"/>
        </w:rPr>
        <w:t xml:space="preserve"> priority </w:t>
      </w:r>
      <w:r w:rsidR="00C53B39">
        <w:rPr>
          <w:rFonts w:ascii="Arial" w:hAnsi="Arial" w:cs="Arial"/>
          <w:sz w:val="22"/>
          <w:szCs w:val="22"/>
        </w:rPr>
        <w:t xml:space="preserve">is </w:t>
      </w:r>
      <w:r w:rsidRPr="00382733">
        <w:rPr>
          <w:rFonts w:ascii="Arial" w:hAnsi="Arial" w:cs="Arial"/>
          <w:sz w:val="22"/>
          <w:szCs w:val="22"/>
        </w:rPr>
        <w:t>to promote and foster growth in all areas of students' lives including social, emotional, physical, c</w:t>
      </w:r>
      <w:r w:rsidR="00C53B39">
        <w:rPr>
          <w:rFonts w:ascii="Arial" w:hAnsi="Arial" w:cs="Arial"/>
          <w:sz w:val="22"/>
          <w:szCs w:val="22"/>
        </w:rPr>
        <w:t>ultural, and ethical issues. Tech’s</w:t>
      </w:r>
      <w:r w:rsidRPr="00382733">
        <w:rPr>
          <w:rFonts w:ascii="Arial" w:hAnsi="Arial" w:cs="Arial"/>
          <w:sz w:val="22"/>
          <w:szCs w:val="22"/>
        </w:rPr>
        <w:t xml:space="preserve"> residence halls provide a safe, clean, and orderly environment in which students are enabled to develop and grow.</w:t>
      </w:r>
    </w:p>
    <w:p w:rsidR="00412C73" w:rsidRPr="00382733" w:rsidRDefault="00412C73" w:rsidP="001B4D6A">
      <w:pPr>
        <w:rPr>
          <w:rFonts w:ascii="Arial" w:hAnsi="Arial" w:cs="Arial"/>
          <w:sz w:val="22"/>
          <w:szCs w:val="22"/>
        </w:rPr>
      </w:pPr>
    </w:p>
    <w:p w:rsidR="0047731E" w:rsidRPr="00222F44" w:rsidRDefault="00412C73" w:rsidP="001B4D6A">
      <w:pPr>
        <w:rPr>
          <w:rFonts w:ascii="Arial" w:hAnsi="Arial" w:cs="Arial"/>
          <w:sz w:val="22"/>
          <w:szCs w:val="22"/>
        </w:rPr>
      </w:pPr>
      <w:r w:rsidRPr="00382733">
        <w:rPr>
          <w:rFonts w:ascii="Arial" w:hAnsi="Arial" w:cs="Arial"/>
          <w:sz w:val="22"/>
          <w:szCs w:val="22"/>
        </w:rPr>
        <w:t xml:space="preserve">The housing staff includes four full-time employees. </w:t>
      </w:r>
      <w:r w:rsidR="001369EE" w:rsidRPr="00382733">
        <w:rPr>
          <w:rFonts w:ascii="Arial" w:hAnsi="Arial" w:cs="Arial"/>
          <w:sz w:val="22"/>
          <w:szCs w:val="22"/>
        </w:rPr>
        <w:t>The D</w:t>
      </w:r>
      <w:r w:rsidR="004E6CE1" w:rsidRPr="00382733">
        <w:rPr>
          <w:rFonts w:ascii="Arial" w:hAnsi="Arial" w:cs="Arial"/>
          <w:sz w:val="22"/>
          <w:szCs w:val="22"/>
        </w:rPr>
        <w:t xml:space="preserve">irector, a </w:t>
      </w:r>
      <w:r w:rsidR="0047731E" w:rsidRPr="00382733">
        <w:rPr>
          <w:rFonts w:ascii="Arial" w:hAnsi="Arial" w:cs="Arial"/>
          <w:sz w:val="22"/>
          <w:szCs w:val="22"/>
        </w:rPr>
        <w:t>live-in professional</w:t>
      </w:r>
      <w:r w:rsidR="00A61D42" w:rsidRPr="00382733">
        <w:rPr>
          <w:rFonts w:ascii="Arial" w:hAnsi="Arial" w:cs="Arial"/>
          <w:sz w:val="22"/>
          <w:szCs w:val="22"/>
        </w:rPr>
        <w:t>,</w:t>
      </w:r>
      <w:r w:rsidR="0047731E" w:rsidRPr="00382733">
        <w:rPr>
          <w:rFonts w:ascii="Arial" w:hAnsi="Arial" w:cs="Arial"/>
          <w:sz w:val="22"/>
          <w:szCs w:val="22"/>
        </w:rPr>
        <w:t xml:space="preserve"> oversees all operations of the program and is</w:t>
      </w:r>
      <w:r w:rsidR="0047731E" w:rsidRPr="00222F44">
        <w:rPr>
          <w:rFonts w:ascii="Arial" w:hAnsi="Arial" w:cs="Arial"/>
          <w:sz w:val="22"/>
          <w:szCs w:val="22"/>
        </w:rPr>
        <w:t xml:space="preserve"> a member of </w:t>
      </w:r>
      <w:r w:rsidR="00C53B39">
        <w:rPr>
          <w:rFonts w:ascii="Arial" w:hAnsi="Arial" w:cs="Arial"/>
          <w:sz w:val="22"/>
          <w:szCs w:val="22"/>
        </w:rPr>
        <w:t xml:space="preserve">the </w:t>
      </w:r>
      <w:r w:rsidR="003A6E42" w:rsidRPr="00222F44">
        <w:rPr>
          <w:rFonts w:ascii="Arial" w:hAnsi="Arial" w:cs="Arial"/>
          <w:sz w:val="22"/>
          <w:szCs w:val="22"/>
        </w:rPr>
        <w:t>Association of College a</w:t>
      </w:r>
      <w:r w:rsidR="00C53B39">
        <w:rPr>
          <w:rFonts w:ascii="Arial" w:hAnsi="Arial" w:cs="Arial"/>
          <w:sz w:val="22"/>
          <w:szCs w:val="22"/>
        </w:rPr>
        <w:t>nd University Housing Officers-</w:t>
      </w:r>
      <w:r w:rsidR="003A6E42" w:rsidRPr="00222F44">
        <w:rPr>
          <w:rFonts w:ascii="Arial" w:hAnsi="Arial" w:cs="Arial"/>
          <w:sz w:val="22"/>
          <w:szCs w:val="22"/>
        </w:rPr>
        <w:t>International</w:t>
      </w:r>
      <w:r w:rsidR="00C53B39" w:rsidRPr="00C53B39">
        <w:rPr>
          <w:rFonts w:ascii="Arial" w:hAnsi="Arial" w:cs="Arial"/>
          <w:sz w:val="22"/>
          <w:szCs w:val="22"/>
        </w:rPr>
        <w:t xml:space="preserve"> </w:t>
      </w:r>
      <w:r w:rsidR="00C53B39">
        <w:rPr>
          <w:rFonts w:ascii="Arial" w:hAnsi="Arial" w:cs="Arial"/>
          <w:sz w:val="22"/>
          <w:szCs w:val="22"/>
        </w:rPr>
        <w:t>(</w:t>
      </w:r>
      <w:r w:rsidR="00C53B39" w:rsidRPr="00222F44">
        <w:rPr>
          <w:rFonts w:ascii="Arial" w:hAnsi="Arial" w:cs="Arial"/>
          <w:sz w:val="22"/>
          <w:szCs w:val="22"/>
        </w:rPr>
        <w:t>ACUHO-I</w:t>
      </w:r>
      <w:r w:rsidR="003A6E42" w:rsidRPr="00222F44">
        <w:rPr>
          <w:rFonts w:ascii="Arial" w:hAnsi="Arial" w:cs="Arial"/>
          <w:sz w:val="22"/>
          <w:szCs w:val="22"/>
        </w:rPr>
        <w:t>)</w:t>
      </w:r>
      <w:r w:rsidR="0047731E" w:rsidRPr="00222F44">
        <w:rPr>
          <w:rFonts w:ascii="Arial" w:hAnsi="Arial" w:cs="Arial"/>
          <w:sz w:val="22"/>
          <w:szCs w:val="22"/>
        </w:rPr>
        <w:t xml:space="preserve"> and </w:t>
      </w:r>
      <w:r w:rsidR="00C53B39">
        <w:rPr>
          <w:rFonts w:ascii="Arial" w:hAnsi="Arial" w:cs="Arial"/>
          <w:sz w:val="22"/>
          <w:szCs w:val="22"/>
        </w:rPr>
        <w:t xml:space="preserve">the </w:t>
      </w:r>
      <w:r w:rsidR="003A6E42" w:rsidRPr="00222F44">
        <w:rPr>
          <w:rFonts w:ascii="Arial" w:hAnsi="Arial" w:cs="Arial"/>
          <w:sz w:val="22"/>
          <w:szCs w:val="22"/>
        </w:rPr>
        <w:t>Association of Intermountain Housing Officers</w:t>
      </w:r>
      <w:r w:rsidR="00C53B39" w:rsidRPr="00C53B39">
        <w:rPr>
          <w:rFonts w:ascii="Arial" w:hAnsi="Arial" w:cs="Arial"/>
          <w:sz w:val="22"/>
          <w:szCs w:val="22"/>
        </w:rPr>
        <w:t xml:space="preserve"> </w:t>
      </w:r>
      <w:r w:rsidR="00C53B39">
        <w:rPr>
          <w:rFonts w:ascii="Arial" w:hAnsi="Arial" w:cs="Arial"/>
          <w:sz w:val="22"/>
          <w:szCs w:val="22"/>
        </w:rPr>
        <w:t>(</w:t>
      </w:r>
      <w:r w:rsidR="00C53B39" w:rsidRPr="00222F44">
        <w:rPr>
          <w:rFonts w:ascii="Arial" w:hAnsi="Arial" w:cs="Arial"/>
          <w:sz w:val="22"/>
          <w:szCs w:val="22"/>
        </w:rPr>
        <w:t>AIMHO</w:t>
      </w:r>
      <w:r w:rsidR="0047731E" w:rsidRPr="00222F44">
        <w:rPr>
          <w:rFonts w:ascii="Arial" w:hAnsi="Arial" w:cs="Arial"/>
          <w:sz w:val="22"/>
          <w:szCs w:val="22"/>
        </w:rPr>
        <w:t>)</w:t>
      </w:r>
      <w:r w:rsidR="004E6CE1" w:rsidRPr="00222F44">
        <w:rPr>
          <w:rFonts w:ascii="Arial" w:hAnsi="Arial" w:cs="Arial"/>
          <w:sz w:val="22"/>
          <w:szCs w:val="22"/>
        </w:rPr>
        <w:t>.</w:t>
      </w:r>
      <w:r w:rsidR="006E5A90" w:rsidRPr="00222F44">
        <w:rPr>
          <w:rFonts w:ascii="Arial" w:hAnsi="Arial" w:cs="Arial"/>
          <w:sz w:val="22"/>
          <w:szCs w:val="22"/>
        </w:rPr>
        <w:t xml:space="preserve"> An</w:t>
      </w:r>
      <w:r w:rsidR="0047731E" w:rsidRPr="00222F44">
        <w:rPr>
          <w:rFonts w:ascii="Arial" w:hAnsi="Arial" w:cs="Arial"/>
          <w:sz w:val="22"/>
          <w:szCs w:val="22"/>
        </w:rPr>
        <w:t xml:space="preserve"> administrative assistant aids the director with day-to-day operations and office paperwork, and two professional custodians maintain residence hall cleanliness. Students are also employed as desk workers and custodians to provide additional services to residents.</w:t>
      </w:r>
    </w:p>
    <w:p w:rsidR="00412C73" w:rsidRPr="00222F44" w:rsidRDefault="00412C73" w:rsidP="001B4D6A">
      <w:pPr>
        <w:rPr>
          <w:rFonts w:ascii="Arial" w:hAnsi="Arial" w:cs="Arial"/>
          <w:sz w:val="22"/>
          <w:szCs w:val="22"/>
        </w:rPr>
      </w:pPr>
    </w:p>
    <w:p w:rsidR="00A44221" w:rsidRDefault="00FC6CB3" w:rsidP="001B4D6A">
      <w:pPr>
        <w:rPr>
          <w:rFonts w:ascii="Arial" w:hAnsi="Arial" w:cs="Arial"/>
          <w:sz w:val="22"/>
          <w:szCs w:val="22"/>
        </w:rPr>
      </w:pPr>
      <w:r w:rsidRPr="00222F44">
        <w:rPr>
          <w:rFonts w:ascii="Arial" w:hAnsi="Arial" w:cs="Arial"/>
          <w:sz w:val="22"/>
          <w:szCs w:val="22"/>
        </w:rPr>
        <w:t xml:space="preserve">Each floor in the </w:t>
      </w:r>
      <w:r w:rsidRPr="00C53B39">
        <w:rPr>
          <w:rFonts w:ascii="Arial" w:hAnsi="Arial" w:cs="Arial"/>
          <w:sz w:val="22"/>
          <w:szCs w:val="22"/>
        </w:rPr>
        <w:t xml:space="preserve">residence halls </w:t>
      </w:r>
      <w:r w:rsidR="00A138FE" w:rsidRPr="00C53B39">
        <w:rPr>
          <w:rFonts w:ascii="Arial" w:hAnsi="Arial" w:cs="Arial"/>
          <w:sz w:val="22"/>
          <w:szCs w:val="22"/>
        </w:rPr>
        <w:t xml:space="preserve">and each complex in apartment housing </w:t>
      </w:r>
      <w:r w:rsidRPr="00C53B39">
        <w:rPr>
          <w:rFonts w:ascii="Arial" w:hAnsi="Arial" w:cs="Arial"/>
          <w:sz w:val="22"/>
          <w:szCs w:val="22"/>
        </w:rPr>
        <w:t>is staffed by a Resident Assistant</w:t>
      </w:r>
      <w:r w:rsidR="000E507C">
        <w:rPr>
          <w:rFonts w:ascii="Arial" w:hAnsi="Arial" w:cs="Arial"/>
          <w:sz w:val="22"/>
          <w:szCs w:val="22"/>
        </w:rPr>
        <w:t xml:space="preserve"> (RA)</w:t>
      </w:r>
      <w:r w:rsidRPr="00C53B39">
        <w:rPr>
          <w:rFonts w:ascii="Arial" w:hAnsi="Arial" w:cs="Arial"/>
          <w:sz w:val="22"/>
          <w:szCs w:val="22"/>
        </w:rPr>
        <w:t>, an upper-class student who lives in the residence halls and</w:t>
      </w:r>
      <w:r w:rsidRPr="00222F44">
        <w:rPr>
          <w:rFonts w:ascii="Arial" w:hAnsi="Arial" w:cs="Arial"/>
          <w:sz w:val="22"/>
          <w:szCs w:val="22"/>
        </w:rPr>
        <w:t xml:space="preserve"> is primarily concerned with the welfare of the students on his/her floor. RAs enforce university policies, disseminate campus information, and pl</w:t>
      </w:r>
      <w:r w:rsidR="00C04196">
        <w:rPr>
          <w:rFonts w:ascii="Arial" w:hAnsi="Arial" w:cs="Arial"/>
          <w:sz w:val="22"/>
          <w:szCs w:val="22"/>
        </w:rPr>
        <w:t>an monthly activities. R</w:t>
      </w:r>
      <w:r w:rsidRPr="00222F44">
        <w:rPr>
          <w:rFonts w:ascii="Arial" w:hAnsi="Arial" w:cs="Arial"/>
          <w:sz w:val="22"/>
          <w:szCs w:val="22"/>
        </w:rPr>
        <w:t xml:space="preserve">A training focuses on meeting student needs by developing communication and confrontation skills and by increasing knowledge of campus and community resources. </w:t>
      </w:r>
      <w:r w:rsidR="00412C73" w:rsidRPr="00382733">
        <w:rPr>
          <w:rFonts w:ascii="Arial" w:hAnsi="Arial" w:cs="Arial"/>
          <w:sz w:val="22"/>
          <w:szCs w:val="22"/>
        </w:rPr>
        <w:t xml:space="preserve">All RAs attend CPR, First-Aid, and emergency response training. </w:t>
      </w:r>
    </w:p>
    <w:p w:rsidR="00A138FE" w:rsidRPr="00382733" w:rsidRDefault="00A138FE" w:rsidP="001B4D6A">
      <w:pPr>
        <w:rPr>
          <w:rFonts w:ascii="Arial" w:hAnsi="Arial" w:cs="Arial"/>
          <w:sz w:val="22"/>
          <w:szCs w:val="22"/>
        </w:rPr>
      </w:pPr>
    </w:p>
    <w:p w:rsidR="00A44221" w:rsidRPr="00222F44" w:rsidRDefault="00A44221" w:rsidP="001B4D6A">
      <w:pPr>
        <w:rPr>
          <w:rFonts w:ascii="Arial" w:hAnsi="Arial" w:cs="Arial"/>
          <w:sz w:val="22"/>
          <w:szCs w:val="22"/>
        </w:rPr>
      </w:pPr>
      <w:r w:rsidRPr="00382733">
        <w:rPr>
          <w:rFonts w:ascii="Arial" w:hAnsi="Arial" w:cs="Arial"/>
          <w:sz w:val="22"/>
          <w:szCs w:val="22"/>
        </w:rPr>
        <w:t xml:space="preserve">RAs and the director develop a full calendar of programs that address student learning, engagement, and development in the residence halls. </w:t>
      </w:r>
      <w:r w:rsidR="00C53B39">
        <w:rPr>
          <w:rFonts w:ascii="Arial" w:hAnsi="Arial" w:cs="Arial"/>
          <w:sz w:val="22"/>
          <w:szCs w:val="22"/>
        </w:rPr>
        <w:t>All</w:t>
      </w:r>
      <w:r w:rsidRPr="00382733">
        <w:rPr>
          <w:rFonts w:ascii="Arial" w:hAnsi="Arial" w:cs="Arial"/>
          <w:sz w:val="22"/>
          <w:szCs w:val="22"/>
        </w:rPr>
        <w:t xml:space="preserve"> RA</w:t>
      </w:r>
      <w:r w:rsidR="00C53B39">
        <w:rPr>
          <w:rFonts w:ascii="Arial" w:hAnsi="Arial" w:cs="Arial"/>
          <w:sz w:val="22"/>
          <w:szCs w:val="22"/>
        </w:rPr>
        <w:t>s</w:t>
      </w:r>
      <w:r w:rsidRPr="00382733">
        <w:rPr>
          <w:rFonts w:ascii="Arial" w:hAnsi="Arial" w:cs="Arial"/>
          <w:sz w:val="22"/>
          <w:szCs w:val="22"/>
        </w:rPr>
        <w:t xml:space="preserve"> </w:t>
      </w:r>
      <w:r w:rsidR="00C53B39">
        <w:rPr>
          <w:rFonts w:ascii="Arial" w:hAnsi="Arial" w:cs="Arial"/>
          <w:sz w:val="22"/>
          <w:szCs w:val="22"/>
        </w:rPr>
        <w:t>are</w:t>
      </w:r>
      <w:r w:rsidRPr="00382733">
        <w:rPr>
          <w:rFonts w:ascii="Arial" w:hAnsi="Arial" w:cs="Arial"/>
          <w:sz w:val="22"/>
          <w:szCs w:val="22"/>
        </w:rPr>
        <w:t xml:space="preserve"> responsible for one program a month for their floors in addition to two all-hall programs planned by the entire staff. The Residence Hall Association</w:t>
      </w:r>
      <w:r w:rsidR="00C53B39">
        <w:rPr>
          <w:rFonts w:ascii="Arial" w:hAnsi="Arial" w:cs="Arial"/>
          <w:sz w:val="22"/>
          <w:szCs w:val="22"/>
        </w:rPr>
        <w:t xml:space="preserve"> (RHA)</w:t>
      </w:r>
      <w:r w:rsidR="00A43655">
        <w:rPr>
          <w:rFonts w:ascii="Arial" w:hAnsi="Arial" w:cs="Arial"/>
          <w:sz w:val="22"/>
          <w:szCs w:val="22"/>
        </w:rPr>
        <w:t xml:space="preserve">, </w:t>
      </w:r>
      <w:r w:rsidR="00C53B39">
        <w:rPr>
          <w:rFonts w:ascii="Arial" w:hAnsi="Arial" w:cs="Arial"/>
          <w:sz w:val="22"/>
          <w:szCs w:val="22"/>
        </w:rPr>
        <w:t>a student-</w:t>
      </w:r>
      <w:r w:rsidRPr="00382733">
        <w:rPr>
          <w:rFonts w:ascii="Arial" w:hAnsi="Arial" w:cs="Arial"/>
          <w:sz w:val="22"/>
          <w:szCs w:val="22"/>
        </w:rPr>
        <w:t>led organizat</w:t>
      </w:r>
      <w:r w:rsidR="00A43655">
        <w:rPr>
          <w:rFonts w:ascii="Arial" w:hAnsi="Arial" w:cs="Arial"/>
          <w:sz w:val="22"/>
          <w:szCs w:val="22"/>
        </w:rPr>
        <w:t>ion for residence hall students,</w:t>
      </w:r>
      <w:r w:rsidRPr="00382733">
        <w:rPr>
          <w:rFonts w:ascii="Arial" w:hAnsi="Arial" w:cs="Arial"/>
          <w:sz w:val="22"/>
          <w:szCs w:val="22"/>
        </w:rPr>
        <w:t xml:space="preserve"> also plans programs and holds meetings to inform residents about upcoming events and to receive feedback about the group’s efforts.</w:t>
      </w:r>
      <w:r w:rsidRPr="00222F44">
        <w:rPr>
          <w:rFonts w:ascii="Arial" w:hAnsi="Arial" w:cs="Arial"/>
          <w:sz w:val="22"/>
          <w:szCs w:val="22"/>
        </w:rPr>
        <w:t xml:space="preserve"> Traditional RHA programs include a campus-wide talent show, bowling and movie nights, and various holiday celebrations. </w:t>
      </w:r>
    </w:p>
    <w:p w:rsidR="00412C73" w:rsidRPr="00222F44" w:rsidRDefault="00412C73" w:rsidP="001B4D6A">
      <w:pPr>
        <w:rPr>
          <w:rFonts w:ascii="Arial" w:hAnsi="Arial" w:cs="Arial"/>
          <w:sz w:val="22"/>
          <w:szCs w:val="22"/>
          <w:highlight w:val="lightGray"/>
        </w:rPr>
      </w:pPr>
    </w:p>
    <w:p w:rsidR="00222F44" w:rsidRPr="00222F44" w:rsidRDefault="00AD55E4" w:rsidP="001B4D6A">
      <w:pPr>
        <w:rPr>
          <w:rFonts w:ascii="Arial" w:hAnsi="Arial" w:cs="Arial"/>
          <w:sz w:val="22"/>
          <w:szCs w:val="22"/>
          <w:highlight w:val="yellow"/>
        </w:rPr>
      </w:pPr>
      <w:r w:rsidRPr="00222F44">
        <w:rPr>
          <w:rFonts w:ascii="Arial" w:hAnsi="Arial" w:cs="Arial"/>
          <w:sz w:val="22"/>
          <w:szCs w:val="22"/>
        </w:rPr>
        <w:t xml:space="preserve">Surveys of Montana Tech </w:t>
      </w:r>
      <w:r w:rsidRPr="00444C61">
        <w:rPr>
          <w:rFonts w:ascii="Arial" w:hAnsi="Arial" w:cs="Arial"/>
          <w:sz w:val="22"/>
          <w:szCs w:val="22"/>
        </w:rPr>
        <w:t xml:space="preserve">residents have historically shown </w:t>
      </w:r>
      <w:r w:rsidR="00AB5600" w:rsidRPr="00444C61">
        <w:rPr>
          <w:rFonts w:ascii="Arial" w:hAnsi="Arial" w:cs="Arial"/>
          <w:sz w:val="22"/>
          <w:szCs w:val="22"/>
        </w:rPr>
        <w:t xml:space="preserve">an </w:t>
      </w:r>
      <w:r w:rsidRPr="00444C61">
        <w:rPr>
          <w:rFonts w:ascii="Arial" w:hAnsi="Arial" w:cs="Arial"/>
          <w:sz w:val="22"/>
          <w:szCs w:val="22"/>
        </w:rPr>
        <w:t xml:space="preserve">above average level of satisfaction with residence hall living. </w:t>
      </w:r>
      <w:r w:rsidR="00C31353" w:rsidRPr="00444C61">
        <w:rPr>
          <w:rFonts w:ascii="Arial" w:hAnsi="Arial" w:cs="Arial"/>
          <w:sz w:val="22"/>
          <w:szCs w:val="22"/>
        </w:rPr>
        <w:t>(</w:t>
      </w:r>
      <w:r w:rsidR="00AB5600" w:rsidRPr="00444C61">
        <w:rPr>
          <w:rFonts w:ascii="Arial" w:hAnsi="Arial" w:cs="Arial"/>
          <w:sz w:val="22"/>
          <w:szCs w:val="22"/>
        </w:rPr>
        <w:t xml:space="preserve">Please see </w:t>
      </w:r>
      <w:r w:rsidR="00452F3B" w:rsidRPr="00444C61">
        <w:rPr>
          <w:rFonts w:ascii="Arial" w:hAnsi="Arial" w:cs="Arial"/>
          <w:sz w:val="22"/>
          <w:szCs w:val="22"/>
        </w:rPr>
        <w:t>Exhibit 3.B.VI</w:t>
      </w:r>
      <w:r w:rsidR="004921EE">
        <w:rPr>
          <w:rFonts w:ascii="Arial" w:hAnsi="Arial" w:cs="Arial"/>
          <w:sz w:val="22"/>
          <w:szCs w:val="22"/>
        </w:rPr>
        <w:t>:</w:t>
      </w:r>
      <w:r w:rsidR="00452F3B" w:rsidRPr="00444C61">
        <w:rPr>
          <w:rFonts w:ascii="Arial" w:hAnsi="Arial" w:cs="Arial"/>
          <w:sz w:val="22"/>
          <w:szCs w:val="22"/>
        </w:rPr>
        <w:t xml:space="preserve"> </w:t>
      </w:r>
      <w:r w:rsidR="00452F3B" w:rsidRPr="00444C61">
        <w:rPr>
          <w:rFonts w:ascii="Arial" w:hAnsi="Arial" w:cs="Arial"/>
          <w:i/>
          <w:sz w:val="22"/>
          <w:szCs w:val="22"/>
          <w:u w:val="single"/>
        </w:rPr>
        <w:t>Residence Hall Surveys</w:t>
      </w:r>
      <w:r w:rsidR="00AB5600" w:rsidRPr="00444C61">
        <w:rPr>
          <w:rFonts w:ascii="Arial" w:hAnsi="Arial" w:cs="Arial"/>
          <w:i/>
          <w:sz w:val="22"/>
          <w:szCs w:val="22"/>
          <w:u w:val="single"/>
        </w:rPr>
        <w:t>.</w:t>
      </w:r>
      <w:r w:rsidR="00C31353" w:rsidRPr="00444C61">
        <w:rPr>
          <w:rFonts w:ascii="Arial" w:hAnsi="Arial" w:cs="Arial"/>
          <w:sz w:val="22"/>
          <w:szCs w:val="22"/>
        </w:rPr>
        <w:t>)</w:t>
      </w:r>
      <w:r w:rsidR="001C5520">
        <w:rPr>
          <w:rFonts w:ascii="Arial" w:hAnsi="Arial" w:cs="Arial"/>
          <w:sz w:val="22"/>
          <w:szCs w:val="22"/>
        </w:rPr>
        <w:t xml:space="preserve">  </w:t>
      </w:r>
    </w:p>
    <w:p w:rsidR="006D1711" w:rsidRPr="00222F44" w:rsidRDefault="006D1711" w:rsidP="001B4D6A">
      <w:pPr>
        <w:rPr>
          <w:rFonts w:ascii="Arial" w:hAnsi="Arial" w:cs="Arial"/>
          <w:sz w:val="22"/>
          <w:szCs w:val="22"/>
        </w:rPr>
      </w:pPr>
    </w:p>
    <w:p w:rsidR="006D1711" w:rsidRPr="00222F44" w:rsidRDefault="00EA2C56" w:rsidP="001B4D6A">
      <w:pPr>
        <w:rPr>
          <w:rFonts w:ascii="Arial" w:hAnsi="Arial" w:cs="Arial"/>
          <w:sz w:val="22"/>
          <w:szCs w:val="22"/>
        </w:rPr>
      </w:pPr>
      <w:r>
        <w:rPr>
          <w:rFonts w:ascii="Arial" w:hAnsi="Arial" w:cs="Arial"/>
          <w:sz w:val="22"/>
          <w:szCs w:val="22"/>
        </w:rPr>
        <w:t>Montana Tech generally</w:t>
      </w:r>
      <w:r w:rsidR="006D1711" w:rsidRPr="00222F44">
        <w:rPr>
          <w:rFonts w:ascii="Arial" w:hAnsi="Arial" w:cs="Arial"/>
          <w:sz w:val="22"/>
          <w:szCs w:val="22"/>
        </w:rPr>
        <w:t xml:space="preserve"> houses 300 students in two traditional residence halls. The buildings offer single, double, and suite-style rooms. Front doors to the buildings are locked at night, and individual hall wing doors are always closed to maintain security and provide residents with privacy. Card readers are planned for the front doors to eliminate the security liability of lost keys and to track late-night building </w:t>
      </w:r>
      <w:r w:rsidR="006D1711" w:rsidRPr="00C31353">
        <w:rPr>
          <w:rFonts w:ascii="Arial" w:hAnsi="Arial" w:cs="Arial"/>
          <w:sz w:val="22"/>
          <w:szCs w:val="22"/>
        </w:rPr>
        <w:t>entrance.</w:t>
      </w:r>
      <w:r w:rsidR="000A4B87" w:rsidRPr="00C31353">
        <w:rPr>
          <w:rFonts w:ascii="Arial" w:hAnsi="Arial" w:cs="Arial"/>
          <w:sz w:val="22"/>
          <w:szCs w:val="22"/>
        </w:rPr>
        <w:t xml:space="preserve"> </w:t>
      </w:r>
      <w:r w:rsidR="00C62649" w:rsidRPr="00C31353">
        <w:rPr>
          <w:rFonts w:ascii="Arial" w:hAnsi="Arial" w:cs="Arial"/>
          <w:sz w:val="22"/>
          <w:szCs w:val="22"/>
        </w:rPr>
        <w:t>Campus Security ma</w:t>
      </w:r>
      <w:r w:rsidR="00C31353" w:rsidRPr="00C31353">
        <w:rPr>
          <w:rFonts w:ascii="Arial" w:hAnsi="Arial" w:cs="Arial"/>
          <w:sz w:val="22"/>
          <w:szCs w:val="22"/>
        </w:rPr>
        <w:t>kes regular rounds, and RAs</w:t>
      </w:r>
      <w:r w:rsidR="00C62649" w:rsidRPr="00C31353">
        <w:rPr>
          <w:rFonts w:ascii="Arial" w:hAnsi="Arial" w:cs="Arial"/>
          <w:sz w:val="22"/>
          <w:szCs w:val="22"/>
        </w:rPr>
        <w:t xml:space="preserve"> rove the halls. </w:t>
      </w:r>
      <w:r w:rsidR="00BC2C23" w:rsidRPr="004921EE">
        <w:rPr>
          <w:rFonts w:ascii="Arial" w:hAnsi="Arial" w:cs="Arial"/>
          <w:sz w:val="22"/>
          <w:szCs w:val="22"/>
        </w:rPr>
        <w:t>Student conduct</w:t>
      </w:r>
      <w:r w:rsidR="000A4B87" w:rsidRPr="004921EE">
        <w:rPr>
          <w:rFonts w:ascii="Arial" w:hAnsi="Arial" w:cs="Arial"/>
          <w:sz w:val="22"/>
          <w:szCs w:val="22"/>
        </w:rPr>
        <w:t xml:space="preserve"> policies exist to ensure a reasonable noise and disturbance level and to provide a pleasant living environment for all</w:t>
      </w:r>
      <w:r w:rsidR="00A43655" w:rsidRPr="004921EE">
        <w:rPr>
          <w:rFonts w:ascii="Arial" w:hAnsi="Arial" w:cs="Arial"/>
          <w:sz w:val="22"/>
          <w:szCs w:val="22"/>
        </w:rPr>
        <w:t xml:space="preserve">. </w:t>
      </w:r>
      <w:r w:rsidR="006D1711" w:rsidRPr="004921EE">
        <w:rPr>
          <w:rFonts w:ascii="Arial" w:hAnsi="Arial" w:cs="Arial"/>
          <w:sz w:val="22"/>
          <w:szCs w:val="22"/>
        </w:rPr>
        <w:t xml:space="preserve"> </w:t>
      </w:r>
      <w:r w:rsidR="00845219" w:rsidRPr="004921EE">
        <w:rPr>
          <w:rFonts w:ascii="Arial" w:hAnsi="Arial" w:cs="Arial"/>
          <w:sz w:val="22"/>
          <w:szCs w:val="22"/>
        </w:rPr>
        <w:t>(</w:t>
      </w:r>
      <w:r w:rsidR="00B76FC9">
        <w:rPr>
          <w:rFonts w:ascii="Arial" w:hAnsi="Arial" w:cs="Arial"/>
          <w:sz w:val="22"/>
          <w:szCs w:val="22"/>
        </w:rPr>
        <w:t>S</w:t>
      </w:r>
      <w:r w:rsidR="004921EE">
        <w:rPr>
          <w:rFonts w:ascii="Arial" w:hAnsi="Arial" w:cs="Arial"/>
          <w:sz w:val="22"/>
          <w:szCs w:val="22"/>
        </w:rPr>
        <w:t>ee Exhibit 3.D.IX</w:t>
      </w:r>
      <w:r w:rsidR="00F34747" w:rsidRPr="004921EE">
        <w:rPr>
          <w:rFonts w:ascii="Arial" w:hAnsi="Arial" w:cs="Arial"/>
          <w:sz w:val="22"/>
          <w:szCs w:val="22"/>
        </w:rPr>
        <w:t xml:space="preserve">: </w:t>
      </w:r>
      <w:hyperlink r:id="rId70" w:history="1">
        <w:r w:rsidR="00845219" w:rsidRPr="00973B2A">
          <w:rPr>
            <w:rStyle w:val="Hyperlink"/>
            <w:rFonts w:ascii="Arial" w:hAnsi="Arial" w:cs="Arial"/>
            <w:i/>
            <w:sz w:val="22"/>
            <w:szCs w:val="22"/>
          </w:rPr>
          <w:t>Residence Hall Handbook</w:t>
        </w:r>
        <w:r w:rsidR="00F34747" w:rsidRPr="00973B2A">
          <w:rPr>
            <w:rStyle w:val="Hyperlink"/>
            <w:rFonts w:ascii="Arial" w:hAnsi="Arial" w:cs="Arial"/>
            <w:sz w:val="22"/>
            <w:szCs w:val="22"/>
          </w:rPr>
          <w:t>.</w:t>
        </w:r>
        <w:r w:rsidR="00845219" w:rsidRPr="00973B2A">
          <w:rPr>
            <w:rStyle w:val="Hyperlink"/>
            <w:rFonts w:ascii="Arial" w:hAnsi="Arial" w:cs="Arial"/>
            <w:sz w:val="22"/>
            <w:szCs w:val="22"/>
          </w:rPr>
          <w:t>)</w:t>
        </w:r>
      </w:hyperlink>
      <w:r w:rsidR="006D1711" w:rsidRPr="00222F44">
        <w:rPr>
          <w:rFonts w:ascii="Arial" w:hAnsi="Arial" w:cs="Arial"/>
          <w:sz w:val="22"/>
          <w:szCs w:val="22"/>
        </w:rPr>
        <w:t xml:space="preserve"> </w:t>
      </w:r>
    </w:p>
    <w:p w:rsidR="00C62649" w:rsidRPr="00222F44" w:rsidRDefault="00C62649" w:rsidP="001B4D6A">
      <w:pPr>
        <w:rPr>
          <w:rFonts w:ascii="Arial" w:hAnsi="Arial" w:cs="Arial"/>
          <w:sz w:val="22"/>
          <w:szCs w:val="22"/>
        </w:rPr>
      </w:pPr>
    </w:p>
    <w:p w:rsidR="000836E6" w:rsidRPr="003E3FE2" w:rsidRDefault="00B76FC9" w:rsidP="001B4D6A">
      <w:pPr>
        <w:rPr>
          <w:rFonts w:ascii="Arial" w:hAnsi="Arial" w:cs="Arial"/>
          <w:sz w:val="22"/>
          <w:szCs w:val="22"/>
        </w:rPr>
      </w:pPr>
      <w:r>
        <w:rPr>
          <w:rFonts w:ascii="Arial" w:hAnsi="Arial" w:cs="Arial"/>
          <w:sz w:val="22"/>
          <w:szCs w:val="22"/>
        </w:rPr>
        <w:t>Over t</w:t>
      </w:r>
      <w:r w:rsidR="00C92393">
        <w:rPr>
          <w:rFonts w:ascii="Arial" w:hAnsi="Arial" w:cs="Arial"/>
          <w:sz w:val="22"/>
          <w:szCs w:val="22"/>
        </w:rPr>
        <w:t>he last</w:t>
      </w:r>
      <w:r w:rsidR="00C62649" w:rsidRPr="00C31353">
        <w:rPr>
          <w:rFonts w:ascii="Arial" w:hAnsi="Arial" w:cs="Arial"/>
          <w:sz w:val="22"/>
          <w:szCs w:val="22"/>
        </w:rPr>
        <w:t xml:space="preserve"> four years, </w:t>
      </w:r>
      <w:r w:rsidR="000E507C">
        <w:rPr>
          <w:rFonts w:ascii="Arial" w:hAnsi="Arial" w:cs="Arial"/>
          <w:sz w:val="22"/>
          <w:szCs w:val="22"/>
        </w:rPr>
        <w:t xml:space="preserve">the 300 bed </w:t>
      </w:r>
      <w:r w:rsidR="00F34747">
        <w:rPr>
          <w:rFonts w:ascii="Arial" w:hAnsi="Arial" w:cs="Arial"/>
          <w:sz w:val="22"/>
          <w:szCs w:val="22"/>
        </w:rPr>
        <w:t>capacity of t</w:t>
      </w:r>
      <w:r w:rsidR="00222F44" w:rsidRPr="00C31353">
        <w:rPr>
          <w:rFonts w:ascii="Arial" w:hAnsi="Arial" w:cs="Arial"/>
          <w:sz w:val="22"/>
          <w:szCs w:val="22"/>
        </w:rPr>
        <w:t xml:space="preserve">he two residence </w:t>
      </w:r>
      <w:r w:rsidR="00F34747">
        <w:rPr>
          <w:rFonts w:ascii="Arial" w:hAnsi="Arial" w:cs="Arial"/>
          <w:sz w:val="22"/>
          <w:szCs w:val="22"/>
        </w:rPr>
        <w:t>halls has</w:t>
      </w:r>
      <w:r w:rsidR="00222F44" w:rsidRPr="00C31353">
        <w:rPr>
          <w:rFonts w:ascii="Arial" w:hAnsi="Arial" w:cs="Arial"/>
          <w:sz w:val="22"/>
          <w:szCs w:val="22"/>
        </w:rPr>
        <w:t xml:space="preserve"> not been</w:t>
      </w:r>
      <w:r w:rsidR="00273445">
        <w:rPr>
          <w:rFonts w:ascii="Arial" w:hAnsi="Arial" w:cs="Arial"/>
          <w:sz w:val="22"/>
          <w:szCs w:val="22"/>
        </w:rPr>
        <w:t xml:space="preserve"> able to meet the demand for on-</w:t>
      </w:r>
      <w:r w:rsidR="00222F44" w:rsidRPr="00C31353">
        <w:rPr>
          <w:rFonts w:ascii="Arial" w:hAnsi="Arial" w:cs="Arial"/>
          <w:sz w:val="22"/>
          <w:szCs w:val="22"/>
        </w:rPr>
        <w:t xml:space="preserve">campus housing. </w:t>
      </w:r>
      <w:r w:rsidR="00C45C65">
        <w:rPr>
          <w:rFonts w:ascii="Arial" w:hAnsi="Arial" w:cs="Arial"/>
          <w:color w:val="0033CC"/>
          <w:sz w:val="22"/>
          <w:szCs w:val="22"/>
        </w:rPr>
        <w:t xml:space="preserve"> </w:t>
      </w:r>
      <w:r w:rsidR="00C45C65" w:rsidRPr="003E3FE2">
        <w:rPr>
          <w:rFonts w:ascii="Arial" w:hAnsi="Arial" w:cs="Arial"/>
          <w:sz w:val="22"/>
          <w:szCs w:val="22"/>
        </w:rPr>
        <w:t>Since 2006, occupancy has exceeded 300</w:t>
      </w:r>
      <w:r w:rsidR="00B212A1" w:rsidRPr="003E3FE2">
        <w:rPr>
          <w:rFonts w:ascii="Arial" w:hAnsi="Arial" w:cs="Arial"/>
          <w:sz w:val="22"/>
          <w:szCs w:val="22"/>
        </w:rPr>
        <w:t>.</w:t>
      </w:r>
      <w:r w:rsidR="00BC2C23" w:rsidRPr="003E3FE2">
        <w:rPr>
          <w:rFonts w:ascii="Arial" w:hAnsi="Arial" w:cs="Arial"/>
          <w:sz w:val="22"/>
          <w:szCs w:val="22"/>
        </w:rPr>
        <w:t xml:space="preserve"> </w:t>
      </w:r>
      <w:r w:rsidRPr="003E3FE2">
        <w:rPr>
          <w:rFonts w:ascii="Arial" w:hAnsi="Arial" w:cs="Arial"/>
          <w:sz w:val="22"/>
          <w:szCs w:val="22"/>
        </w:rPr>
        <w:t>(</w:t>
      </w:r>
      <w:r w:rsidR="00C45C65" w:rsidRPr="003E3FE2">
        <w:rPr>
          <w:rFonts w:ascii="Arial" w:hAnsi="Arial" w:cs="Arial"/>
          <w:sz w:val="22"/>
          <w:szCs w:val="22"/>
        </w:rPr>
        <w:t xml:space="preserve">See </w:t>
      </w:r>
      <w:r w:rsidRPr="003E3FE2">
        <w:rPr>
          <w:rFonts w:ascii="Arial" w:hAnsi="Arial" w:cs="Arial"/>
          <w:sz w:val="22"/>
          <w:szCs w:val="22"/>
        </w:rPr>
        <w:t>Figure 3.D.10: Occupancy.)</w:t>
      </w:r>
    </w:p>
    <w:p w:rsidR="000836E6" w:rsidRDefault="000836E6" w:rsidP="001B4D6A">
      <w:pPr>
        <w:rPr>
          <w:rFonts w:ascii="Arial" w:hAnsi="Arial" w:cs="Arial"/>
          <w:color w:val="0070C0"/>
          <w:sz w:val="22"/>
          <w:szCs w:val="22"/>
        </w:rPr>
      </w:pPr>
    </w:p>
    <w:p w:rsidR="000836E6" w:rsidRDefault="00D74AA6" w:rsidP="001B4D6A">
      <w:pPr>
        <w:jc w:val="center"/>
        <w:rPr>
          <w:rFonts w:ascii="Arial" w:hAnsi="Arial" w:cs="Arial"/>
          <w:color w:val="0070C0"/>
          <w:sz w:val="22"/>
          <w:szCs w:val="22"/>
        </w:rPr>
      </w:pPr>
      <w:r w:rsidRPr="00D74AA6">
        <w:rPr>
          <w:noProof/>
          <w:szCs w:val="22"/>
          <w:lang w:eastAsia="en-US"/>
        </w:rPr>
        <w:lastRenderedPageBreak/>
        <w:drawing>
          <wp:inline distT="0" distB="0" distL="0" distR="0">
            <wp:extent cx="4687910" cy="3200400"/>
            <wp:effectExtent l="0" t="0" r="0" b="0"/>
            <wp:docPr id="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1"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0836E6" w:rsidRDefault="000836E6" w:rsidP="001B4D6A">
      <w:pPr>
        <w:rPr>
          <w:rFonts w:ascii="Arial" w:hAnsi="Arial" w:cs="Arial"/>
          <w:color w:val="0070C0"/>
          <w:sz w:val="22"/>
          <w:szCs w:val="22"/>
        </w:rPr>
      </w:pPr>
    </w:p>
    <w:p w:rsidR="000836E6" w:rsidRDefault="00F34747" w:rsidP="001B4D6A">
      <w:pPr>
        <w:jc w:val="center"/>
        <w:rPr>
          <w:rFonts w:ascii="Arial" w:hAnsi="Arial" w:cs="Arial"/>
          <w:b/>
          <w:sz w:val="22"/>
          <w:szCs w:val="22"/>
        </w:rPr>
      </w:pPr>
      <w:r>
        <w:rPr>
          <w:rFonts w:ascii="Arial" w:hAnsi="Arial" w:cs="Arial"/>
          <w:b/>
          <w:sz w:val="22"/>
          <w:szCs w:val="22"/>
        </w:rPr>
        <w:t>Figure</w:t>
      </w:r>
      <w:r w:rsidRPr="00222F44">
        <w:rPr>
          <w:rFonts w:ascii="Arial" w:hAnsi="Arial" w:cs="Arial"/>
          <w:b/>
          <w:sz w:val="22"/>
          <w:szCs w:val="22"/>
        </w:rPr>
        <w:t xml:space="preserve"> 3.D.10</w:t>
      </w:r>
      <w:r>
        <w:rPr>
          <w:rFonts w:ascii="Arial" w:hAnsi="Arial" w:cs="Arial"/>
          <w:b/>
          <w:sz w:val="22"/>
          <w:szCs w:val="22"/>
        </w:rPr>
        <w:t>:  Occupancy</w:t>
      </w:r>
    </w:p>
    <w:p w:rsidR="00F34747" w:rsidRDefault="00F34747" w:rsidP="001B4D6A">
      <w:pPr>
        <w:jc w:val="center"/>
        <w:rPr>
          <w:rFonts w:ascii="Arial" w:hAnsi="Arial" w:cs="Arial"/>
          <w:color w:val="0070C0"/>
          <w:sz w:val="22"/>
          <w:szCs w:val="22"/>
        </w:rPr>
      </w:pPr>
    </w:p>
    <w:p w:rsidR="00FC6CB3" w:rsidRPr="00222F44" w:rsidRDefault="00273445" w:rsidP="001B4D6A">
      <w:pPr>
        <w:rPr>
          <w:rFonts w:ascii="Arial" w:hAnsi="Arial" w:cs="Arial"/>
          <w:sz w:val="22"/>
          <w:szCs w:val="22"/>
        </w:rPr>
      </w:pPr>
      <w:r>
        <w:rPr>
          <w:rFonts w:ascii="Arial" w:hAnsi="Arial" w:cs="Arial"/>
          <w:sz w:val="22"/>
          <w:szCs w:val="22"/>
        </w:rPr>
        <w:t>The l</w:t>
      </w:r>
      <w:r w:rsidR="00BC2C23" w:rsidRPr="00853E96">
        <w:rPr>
          <w:rFonts w:ascii="Arial" w:hAnsi="Arial" w:cs="Arial"/>
          <w:sz w:val="22"/>
          <w:szCs w:val="22"/>
        </w:rPr>
        <w:t>ast two years,</w:t>
      </w:r>
      <w:r w:rsidR="00B76FC9">
        <w:rPr>
          <w:rFonts w:ascii="Arial" w:hAnsi="Arial" w:cs="Arial"/>
          <w:sz w:val="22"/>
          <w:szCs w:val="22"/>
        </w:rPr>
        <w:t xml:space="preserve"> more than</w:t>
      </w:r>
      <w:r w:rsidR="00F34747">
        <w:rPr>
          <w:rFonts w:ascii="Arial" w:hAnsi="Arial" w:cs="Arial"/>
          <w:sz w:val="22"/>
          <w:szCs w:val="22"/>
        </w:rPr>
        <w:t xml:space="preserve"> 50</w:t>
      </w:r>
      <w:r w:rsidR="00BC2C23" w:rsidRPr="00853E96">
        <w:rPr>
          <w:rFonts w:ascii="Arial" w:hAnsi="Arial" w:cs="Arial"/>
          <w:sz w:val="22"/>
          <w:szCs w:val="22"/>
        </w:rPr>
        <w:t xml:space="preserve"> students were</w:t>
      </w:r>
      <w:r w:rsidR="00C62649" w:rsidRPr="00222F44">
        <w:rPr>
          <w:rFonts w:ascii="Arial" w:hAnsi="Arial" w:cs="Arial"/>
          <w:sz w:val="22"/>
          <w:szCs w:val="22"/>
        </w:rPr>
        <w:t xml:space="preserve"> assigned housing in apartment units that have been converted for residence hall living. These units are taken offline until all first-year students </w:t>
      </w:r>
      <w:r w:rsidR="00F34747">
        <w:rPr>
          <w:rFonts w:ascii="Arial" w:hAnsi="Arial" w:cs="Arial"/>
          <w:sz w:val="22"/>
          <w:szCs w:val="22"/>
        </w:rPr>
        <w:t>are guaranteed housing for the Fall S</w:t>
      </w:r>
      <w:r w:rsidR="00C62649" w:rsidRPr="00222F44">
        <w:rPr>
          <w:rFonts w:ascii="Arial" w:hAnsi="Arial" w:cs="Arial"/>
          <w:sz w:val="22"/>
          <w:szCs w:val="22"/>
        </w:rPr>
        <w:t xml:space="preserve">emester. Student Services is currently monitoring and evaluating housing options to address higher </w:t>
      </w:r>
      <w:r w:rsidR="00C62649" w:rsidRPr="00382733">
        <w:rPr>
          <w:rFonts w:ascii="Arial" w:hAnsi="Arial" w:cs="Arial"/>
          <w:sz w:val="22"/>
          <w:szCs w:val="22"/>
        </w:rPr>
        <w:t xml:space="preserve">enrollments. In addition to placing students in Montana Tech’s Apartment Complexes, </w:t>
      </w:r>
      <w:r w:rsidR="00F34747">
        <w:rPr>
          <w:rFonts w:ascii="Arial" w:hAnsi="Arial" w:cs="Arial"/>
          <w:sz w:val="22"/>
          <w:szCs w:val="22"/>
        </w:rPr>
        <w:t>Tech is currently discussing</w:t>
      </w:r>
      <w:r w:rsidR="00A43655">
        <w:rPr>
          <w:rFonts w:ascii="Arial" w:hAnsi="Arial" w:cs="Arial"/>
          <w:sz w:val="22"/>
          <w:szCs w:val="22"/>
        </w:rPr>
        <w:t xml:space="preserve"> with the Butte c</w:t>
      </w:r>
      <w:r w:rsidR="002A5F8E">
        <w:rPr>
          <w:rFonts w:ascii="Arial" w:hAnsi="Arial" w:cs="Arial"/>
          <w:sz w:val="22"/>
          <w:szCs w:val="22"/>
        </w:rPr>
        <w:t>ommunity possible</w:t>
      </w:r>
      <w:r w:rsidR="00C62649" w:rsidRPr="00382733">
        <w:rPr>
          <w:rFonts w:ascii="Arial" w:hAnsi="Arial" w:cs="Arial"/>
          <w:sz w:val="22"/>
          <w:szCs w:val="22"/>
        </w:rPr>
        <w:t xml:space="preserve"> renovation of the MoFAB, formally the YMCA, and </w:t>
      </w:r>
      <w:r w:rsidR="002A5F8E">
        <w:rPr>
          <w:rFonts w:ascii="Arial" w:hAnsi="Arial" w:cs="Arial"/>
          <w:sz w:val="22"/>
          <w:szCs w:val="22"/>
        </w:rPr>
        <w:t>use of the McKinley School.</w:t>
      </w:r>
      <w:r w:rsidR="00C62649" w:rsidRPr="00382733">
        <w:rPr>
          <w:rFonts w:ascii="Arial" w:hAnsi="Arial" w:cs="Arial"/>
          <w:sz w:val="22"/>
          <w:szCs w:val="22"/>
        </w:rPr>
        <w:t xml:space="preserve"> </w:t>
      </w:r>
      <w:r w:rsidR="002A5F8E">
        <w:rPr>
          <w:rFonts w:ascii="Arial" w:hAnsi="Arial" w:cs="Arial"/>
          <w:sz w:val="22"/>
          <w:szCs w:val="22"/>
        </w:rPr>
        <w:t>B</w:t>
      </w:r>
      <w:r w:rsidR="002A5F8E" w:rsidRPr="00382733">
        <w:rPr>
          <w:rFonts w:ascii="Arial" w:hAnsi="Arial" w:cs="Arial"/>
          <w:sz w:val="22"/>
          <w:szCs w:val="22"/>
        </w:rPr>
        <w:t xml:space="preserve">oth </w:t>
      </w:r>
      <w:r w:rsidR="002A5F8E">
        <w:rPr>
          <w:rFonts w:ascii="Arial" w:hAnsi="Arial" w:cs="Arial"/>
          <w:sz w:val="22"/>
          <w:szCs w:val="22"/>
        </w:rPr>
        <w:t xml:space="preserve">buildings are </w:t>
      </w:r>
      <w:r w:rsidR="00C62649" w:rsidRPr="00382733">
        <w:rPr>
          <w:rFonts w:ascii="Arial" w:hAnsi="Arial" w:cs="Arial"/>
          <w:sz w:val="22"/>
          <w:szCs w:val="22"/>
        </w:rPr>
        <w:t xml:space="preserve">located </w:t>
      </w:r>
      <w:r w:rsidR="002A5F8E">
        <w:rPr>
          <w:rFonts w:ascii="Arial" w:hAnsi="Arial" w:cs="Arial"/>
          <w:sz w:val="22"/>
          <w:szCs w:val="22"/>
        </w:rPr>
        <w:t xml:space="preserve">to the east </w:t>
      </w:r>
      <w:r w:rsidR="00C62649" w:rsidRPr="00382733">
        <w:rPr>
          <w:rFonts w:ascii="Arial" w:hAnsi="Arial" w:cs="Arial"/>
          <w:sz w:val="22"/>
          <w:szCs w:val="22"/>
        </w:rPr>
        <w:t xml:space="preserve">on Park Street, </w:t>
      </w:r>
      <w:r w:rsidR="002A5F8E">
        <w:rPr>
          <w:rFonts w:ascii="Arial" w:hAnsi="Arial" w:cs="Arial"/>
          <w:sz w:val="22"/>
          <w:szCs w:val="22"/>
        </w:rPr>
        <w:t>and are within walking distance of the</w:t>
      </w:r>
      <w:r w:rsidR="00C62649" w:rsidRPr="00382733">
        <w:rPr>
          <w:rFonts w:ascii="Arial" w:hAnsi="Arial" w:cs="Arial"/>
          <w:sz w:val="22"/>
          <w:szCs w:val="22"/>
        </w:rPr>
        <w:t xml:space="preserve"> campus.</w:t>
      </w:r>
      <w:r w:rsidR="000836E6" w:rsidRPr="00382733">
        <w:rPr>
          <w:rFonts w:ascii="Arial" w:hAnsi="Arial" w:cs="Arial"/>
          <w:sz w:val="22"/>
          <w:szCs w:val="22"/>
        </w:rPr>
        <w:t xml:space="preserve"> </w:t>
      </w:r>
    </w:p>
    <w:p w:rsidR="004E4CE5" w:rsidRPr="002A5F8E" w:rsidRDefault="004E4CE5" w:rsidP="001B4D6A">
      <w:pPr>
        <w:rPr>
          <w:rFonts w:ascii="Arial" w:hAnsi="Arial" w:cs="Arial"/>
          <w:sz w:val="22"/>
          <w:szCs w:val="22"/>
        </w:rPr>
      </w:pPr>
    </w:p>
    <w:p w:rsidR="000A4B87" w:rsidRPr="00222F44" w:rsidRDefault="0047731E" w:rsidP="001B4D6A">
      <w:pPr>
        <w:rPr>
          <w:rFonts w:ascii="Arial" w:hAnsi="Arial" w:cs="Arial"/>
          <w:sz w:val="22"/>
          <w:szCs w:val="22"/>
        </w:rPr>
      </w:pPr>
      <w:r w:rsidRPr="002A5F8E">
        <w:rPr>
          <w:rFonts w:ascii="Arial" w:hAnsi="Arial" w:cs="Arial"/>
          <w:sz w:val="22"/>
          <w:szCs w:val="22"/>
        </w:rPr>
        <w:t>Montana Tech Apartme</w:t>
      </w:r>
      <w:r w:rsidR="002A5F8E" w:rsidRPr="002A5F8E">
        <w:rPr>
          <w:rFonts w:ascii="Arial" w:hAnsi="Arial" w:cs="Arial"/>
          <w:sz w:val="22"/>
          <w:szCs w:val="22"/>
        </w:rPr>
        <w:t>nt Housing is comprised of 60</w:t>
      </w:r>
      <w:r w:rsidRPr="002A5F8E">
        <w:rPr>
          <w:rFonts w:ascii="Arial" w:hAnsi="Arial" w:cs="Arial"/>
          <w:sz w:val="22"/>
          <w:szCs w:val="22"/>
        </w:rPr>
        <w:t xml:space="preserve"> apartment units located approximately one mile north of </w:t>
      </w:r>
      <w:r w:rsidR="002A5F8E" w:rsidRPr="002A5F8E">
        <w:rPr>
          <w:rFonts w:ascii="Arial" w:hAnsi="Arial" w:cs="Arial"/>
          <w:sz w:val="22"/>
          <w:szCs w:val="22"/>
        </w:rPr>
        <w:t xml:space="preserve">the </w:t>
      </w:r>
      <w:r w:rsidRPr="002A5F8E">
        <w:rPr>
          <w:rFonts w:ascii="Arial" w:hAnsi="Arial" w:cs="Arial"/>
          <w:sz w:val="22"/>
          <w:szCs w:val="22"/>
        </w:rPr>
        <w:t xml:space="preserve">campus. Apartments are rented </w:t>
      </w:r>
      <w:r w:rsidR="00BB1453">
        <w:rPr>
          <w:rFonts w:ascii="Arial" w:hAnsi="Arial" w:cs="Arial"/>
          <w:sz w:val="22"/>
          <w:szCs w:val="22"/>
        </w:rPr>
        <w:t>to university-</w:t>
      </w:r>
      <w:r w:rsidRPr="002A5F8E">
        <w:rPr>
          <w:rFonts w:ascii="Arial" w:hAnsi="Arial" w:cs="Arial"/>
          <w:sz w:val="22"/>
          <w:szCs w:val="22"/>
        </w:rPr>
        <w:t xml:space="preserve">related tenants according to a priority list </w:t>
      </w:r>
      <w:r w:rsidR="004E6CE1" w:rsidRPr="002A5F8E">
        <w:rPr>
          <w:rFonts w:ascii="Arial" w:hAnsi="Arial" w:cs="Arial"/>
          <w:sz w:val="22"/>
          <w:szCs w:val="22"/>
        </w:rPr>
        <w:t xml:space="preserve">on which </w:t>
      </w:r>
      <w:r w:rsidR="00EA2C56" w:rsidRPr="002A5F8E">
        <w:rPr>
          <w:rFonts w:ascii="Arial" w:hAnsi="Arial" w:cs="Arial"/>
          <w:sz w:val="22"/>
          <w:szCs w:val="22"/>
        </w:rPr>
        <w:t xml:space="preserve">freshmen students have </w:t>
      </w:r>
      <w:r w:rsidR="002A5F8E" w:rsidRPr="002A5F8E">
        <w:rPr>
          <w:rFonts w:ascii="Arial" w:hAnsi="Arial" w:cs="Arial"/>
          <w:sz w:val="22"/>
          <w:szCs w:val="22"/>
        </w:rPr>
        <w:t>first precedence.</w:t>
      </w:r>
      <w:r w:rsidR="00EA2C56" w:rsidRPr="002A5F8E">
        <w:rPr>
          <w:rFonts w:ascii="Arial" w:hAnsi="Arial" w:cs="Arial"/>
          <w:sz w:val="22"/>
          <w:szCs w:val="22"/>
        </w:rPr>
        <w:t xml:space="preserve"> </w:t>
      </w:r>
      <w:r w:rsidR="002A5F8E" w:rsidRPr="002A5F8E">
        <w:rPr>
          <w:rFonts w:ascii="Arial" w:hAnsi="Arial" w:cs="Arial"/>
          <w:sz w:val="22"/>
          <w:szCs w:val="22"/>
        </w:rPr>
        <w:t>S</w:t>
      </w:r>
      <w:r w:rsidRPr="002A5F8E">
        <w:rPr>
          <w:rFonts w:ascii="Arial" w:hAnsi="Arial" w:cs="Arial"/>
          <w:sz w:val="22"/>
          <w:szCs w:val="22"/>
        </w:rPr>
        <w:t xml:space="preserve">tudents with dependants have </w:t>
      </w:r>
      <w:r w:rsidR="002A5F8E" w:rsidRPr="002A5F8E">
        <w:rPr>
          <w:rFonts w:ascii="Arial" w:hAnsi="Arial" w:cs="Arial"/>
          <w:sz w:val="22"/>
          <w:szCs w:val="22"/>
        </w:rPr>
        <w:t xml:space="preserve">next </w:t>
      </w:r>
      <w:r w:rsidRPr="002A5F8E">
        <w:rPr>
          <w:rFonts w:ascii="Arial" w:hAnsi="Arial" w:cs="Arial"/>
          <w:sz w:val="22"/>
          <w:szCs w:val="22"/>
        </w:rPr>
        <w:t>precedence</w:t>
      </w:r>
      <w:r w:rsidR="00C334D9" w:rsidRPr="002A5F8E">
        <w:rPr>
          <w:rFonts w:ascii="Arial" w:hAnsi="Arial" w:cs="Arial"/>
          <w:sz w:val="22"/>
          <w:szCs w:val="22"/>
        </w:rPr>
        <w:t>,</w:t>
      </w:r>
      <w:r w:rsidRPr="002A5F8E">
        <w:rPr>
          <w:rFonts w:ascii="Arial" w:hAnsi="Arial" w:cs="Arial"/>
          <w:sz w:val="22"/>
          <w:szCs w:val="22"/>
        </w:rPr>
        <w:t xml:space="preserve"> </w:t>
      </w:r>
      <w:r w:rsidR="002A5F8E" w:rsidRPr="002A5F8E">
        <w:rPr>
          <w:rFonts w:ascii="Arial" w:hAnsi="Arial" w:cs="Arial"/>
          <w:sz w:val="22"/>
          <w:szCs w:val="22"/>
        </w:rPr>
        <w:t xml:space="preserve">and </w:t>
      </w:r>
      <w:r w:rsidR="00EA2C56" w:rsidRPr="002A5F8E">
        <w:rPr>
          <w:rFonts w:ascii="Arial" w:hAnsi="Arial" w:cs="Arial"/>
          <w:sz w:val="22"/>
          <w:szCs w:val="22"/>
        </w:rPr>
        <w:t>then upper-class</w:t>
      </w:r>
      <w:r w:rsidRPr="002A5F8E">
        <w:rPr>
          <w:rFonts w:ascii="Arial" w:hAnsi="Arial" w:cs="Arial"/>
          <w:sz w:val="22"/>
          <w:szCs w:val="22"/>
        </w:rPr>
        <w:t xml:space="preserve"> students</w:t>
      </w:r>
      <w:r w:rsidR="00FA7F73">
        <w:rPr>
          <w:rFonts w:ascii="Arial" w:hAnsi="Arial" w:cs="Arial"/>
          <w:sz w:val="22"/>
          <w:szCs w:val="22"/>
        </w:rPr>
        <w:t>,</w:t>
      </w:r>
      <w:r w:rsidRPr="002A5F8E">
        <w:rPr>
          <w:rFonts w:ascii="Arial" w:hAnsi="Arial" w:cs="Arial"/>
          <w:sz w:val="22"/>
          <w:szCs w:val="22"/>
        </w:rPr>
        <w:t xml:space="preserve"> and </w:t>
      </w:r>
      <w:r w:rsidR="00FA7F73">
        <w:rPr>
          <w:rFonts w:ascii="Arial" w:hAnsi="Arial" w:cs="Arial"/>
          <w:sz w:val="22"/>
          <w:szCs w:val="22"/>
        </w:rPr>
        <w:t xml:space="preserve">finally </w:t>
      </w:r>
      <w:r w:rsidRPr="002A5F8E">
        <w:rPr>
          <w:rFonts w:ascii="Arial" w:hAnsi="Arial" w:cs="Arial"/>
          <w:sz w:val="22"/>
          <w:szCs w:val="22"/>
        </w:rPr>
        <w:t>faculty/staff</w:t>
      </w:r>
      <w:r w:rsidR="002A5F8E" w:rsidRPr="002A5F8E">
        <w:rPr>
          <w:rFonts w:ascii="Arial" w:hAnsi="Arial" w:cs="Arial"/>
          <w:sz w:val="22"/>
          <w:szCs w:val="22"/>
        </w:rPr>
        <w:t xml:space="preserve"> have last </w:t>
      </w:r>
      <w:r w:rsidR="00B76FC9">
        <w:rPr>
          <w:rFonts w:ascii="Arial" w:hAnsi="Arial" w:cs="Arial"/>
          <w:sz w:val="22"/>
          <w:szCs w:val="22"/>
        </w:rPr>
        <w:t>preference</w:t>
      </w:r>
      <w:r w:rsidRPr="002A5F8E">
        <w:rPr>
          <w:rFonts w:ascii="Arial" w:hAnsi="Arial" w:cs="Arial"/>
          <w:sz w:val="22"/>
          <w:szCs w:val="22"/>
        </w:rPr>
        <w:t xml:space="preserve">. </w:t>
      </w:r>
      <w:r w:rsidR="00B76FC9">
        <w:rPr>
          <w:rFonts w:ascii="Arial" w:hAnsi="Arial" w:cs="Arial"/>
          <w:sz w:val="22"/>
          <w:szCs w:val="22"/>
        </w:rPr>
        <w:t>A</w:t>
      </w:r>
      <w:r w:rsidRPr="002A5F8E">
        <w:rPr>
          <w:rFonts w:ascii="Arial" w:hAnsi="Arial" w:cs="Arial"/>
          <w:sz w:val="22"/>
          <w:szCs w:val="22"/>
        </w:rPr>
        <w:t>partment units have been renovated as needed to replace wooden paneling with sheet rock and to upgrade appliances</w:t>
      </w:r>
      <w:r w:rsidR="00C62649" w:rsidRPr="002A5F8E">
        <w:rPr>
          <w:rFonts w:ascii="Arial" w:hAnsi="Arial" w:cs="Arial"/>
          <w:sz w:val="22"/>
          <w:szCs w:val="22"/>
        </w:rPr>
        <w:t>.</w:t>
      </w:r>
      <w:r w:rsidRPr="002A5F8E">
        <w:rPr>
          <w:rFonts w:ascii="Arial" w:hAnsi="Arial" w:cs="Arial"/>
          <w:sz w:val="22"/>
          <w:szCs w:val="22"/>
        </w:rPr>
        <w:t xml:space="preserve"> A stu</w:t>
      </w:r>
      <w:r w:rsidR="00273445">
        <w:rPr>
          <w:rFonts w:ascii="Arial" w:hAnsi="Arial" w:cs="Arial"/>
          <w:sz w:val="22"/>
          <w:szCs w:val="22"/>
        </w:rPr>
        <w:t>dent apartment manager lives on-</w:t>
      </w:r>
      <w:r w:rsidRPr="002A5F8E">
        <w:rPr>
          <w:rFonts w:ascii="Arial" w:hAnsi="Arial" w:cs="Arial"/>
          <w:sz w:val="22"/>
          <w:szCs w:val="22"/>
        </w:rPr>
        <w:t>site and is available to</w:t>
      </w:r>
      <w:r w:rsidRPr="00222F44">
        <w:rPr>
          <w:rFonts w:ascii="Arial" w:hAnsi="Arial" w:cs="Arial"/>
          <w:sz w:val="22"/>
          <w:szCs w:val="22"/>
        </w:rPr>
        <w:t xml:space="preserve"> assist with tenant needs, perform routine maintenance</w:t>
      </w:r>
      <w:r w:rsidR="004E6CE1" w:rsidRPr="00222F44">
        <w:rPr>
          <w:rFonts w:ascii="Arial" w:hAnsi="Arial" w:cs="Arial"/>
          <w:sz w:val="22"/>
          <w:szCs w:val="22"/>
        </w:rPr>
        <w:t>,</w:t>
      </w:r>
      <w:r w:rsidRPr="00222F44">
        <w:rPr>
          <w:rFonts w:ascii="Arial" w:hAnsi="Arial" w:cs="Arial"/>
          <w:sz w:val="22"/>
          <w:szCs w:val="22"/>
        </w:rPr>
        <w:t xml:space="preserve"> and </w:t>
      </w:r>
      <w:r w:rsidR="002A5F8E">
        <w:rPr>
          <w:rFonts w:ascii="Arial" w:hAnsi="Arial" w:cs="Arial"/>
          <w:sz w:val="22"/>
          <w:szCs w:val="22"/>
        </w:rPr>
        <w:t xml:space="preserve">to </w:t>
      </w:r>
      <w:r w:rsidRPr="00222F44">
        <w:rPr>
          <w:rFonts w:ascii="Arial" w:hAnsi="Arial" w:cs="Arial"/>
          <w:sz w:val="22"/>
          <w:szCs w:val="22"/>
        </w:rPr>
        <w:t xml:space="preserve">report necessary repairs. </w:t>
      </w:r>
    </w:p>
    <w:p w:rsidR="00A44221" w:rsidRDefault="00A44221" w:rsidP="001B4D6A">
      <w:pPr>
        <w:rPr>
          <w:rFonts w:ascii="Arial" w:hAnsi="Arial" w:cs="Arial"/>
          <w:strike/>
          <w:sz w:val="22"/>
          <w:szCs w:val="22"/>
          <w:highlight w:val="yellow"/>
        </w:rPr>
      </w:pPr>
    </w:p>
    <w:p w:rsidR="004D2808" w:rsidRPr="00A1764A" w:rsidRDefault="009A392B" w:rsidP="001B4D6A">
      <w:pPr>
        <w:rPr>
          <w:rFonts w:ascii="Arial" w:hAnsi="Arial" w:cs="Arial"/>
          <w:b/>
          <w:sz w:val="22"/>
          <w:szCs w:val="22"/>
        </w:rPr>
      </w:pPr>
      <w:r w:rsidRPr="00A1764A">
        <w:rPr>
          <w:rFonts w:ascii="Arial" w:hAnsi="Arial" w:cs="Arial"/>
          <w:b/>
          <w:sz w:val="22"/>
          <w:szCs w:val="22"/>
        </w:rPr>
        <w:t>3.D.14</w:t>
      </w:r>
      <w:r w:rsidRPr="00A1764A">
        <w:rPr>
          <w:rFonts w:ascii="Arial" w:hAnsi="Arial" w:cs="Arial"/>
          <w:b/>
          <w:sz w:val="22"/>
          <w:szCs w:val="22"/>
        </w:rPr>
        <w:tab/>
      </w:r>
      <w:r w:rsidR="004D2808" w:rsidRPr="00A1764A">
        <w:rPr>
          <w:rFonts w:ascii="Arial" w:hAnsi="Arial" w:cs="Arial"/>
          <w:b/>
          <w:sz w:val="22"/>
          <w:szCs w:val="22"/>
        </w:rPr>
        <w:t>Appropriate food services are provided for both resident and nonresident students. These services are supervised by professionally trained food service staff and meet recognized nutritional and mandated health and safety standards.</w:t>
      </w:r>
    </w:p>
    <w:p w:rsidR="0087373F" w:rsidRPr="009771F2" w:rsidRDefault="0087373F" w:rsidP="001B4D6A">
      <w:pPr>
        <w:rPr>
          <w:rFonts w:ascii="Arial" w:hAnsi="Arial" w:cs="Arial"/>
          <w:sz w:val="22"/>
          <w:szCs w:val="22"/>
        </w:rPr>
      </w:pPr>
    </w:p>
    <w:p w:rsidR="0087373F" w:rsidRPr="00AB1C7D" w:rsidRDefault="0087373F" w:rsidP="001B4D6A">
      <w:pPr>
        <w:rPr>
          <w:rFonts w:ascii="Arial" w:hAnsi="Arial" w:cs="Arial"/>
          <w:sz w:val="22"/>
          <w:szCs w:val="22"/>
        </w:rPr>
      </w:pPr>
      <w:r w:rsidRPr="00A1764A">
        <w:rPr>
          <w:rFonts w:ascii="Arial" w:hAnsi="Arial" w:cs="Arial"/>
          <w:sz w:val="22"/>
          <w:szCs w:val="22"/>
        </w:rPr>
        <w:t>The Montana Tech Student Union houses the campus dining services</w:t>
      </w:r>
      <w:r w:rsidR="00A43655">
        <w:rPr>
          <w:rFonts w:ascii="Arial" w:hAnsi="Arial" w:cs="Arial"/>
          <w:sz w:val="22"/>
          <w:szCs w:val="22"/>
        </w:rPr>
        <w:t>,</w:t>
      </w:r>
      <w:r w:rsidRPr="00A1764A">
        <w:rPr>
          <w:rFonts w:ascii="Arial" w:hAnsi="Arial" w:cs="Arial"/>
          <w:sz w:val="22"/>
          <w:szCs w:val="22"/>
        </w:rPr>
        <w:t xml:space="preserve"> which include</w:t>
      </w:r>
      <w:r w:rsidR="00FA7F73">
        <w:rPr>
          <w:rFonts w:ascii="Arial" w:hAnsi="Arial" w:cs="Arial"/>
          <w:sz w:val="22"/>
          <w:szCs w:val="22"/>
        </w:rPr>
        <w:t>s</w:t>
      </w:r>
      <w:r w:rsidRPr="00A1764A">
        <w:rPr>
          <w:rFonts w:ascii="Arial" w:hAnsi="Arial" w:cs="Arial"/>
          <w:sz w:val="22"/>
          <w:szCs w:val="22"/>
        </w:rPr>
        <w:t xml:space="preserve"> the Marcus Deli Buffet, Fire House Grill, Digger Subs</w:t>
      </w:r>
      <w:r w:rsidR="003E6839" w:rsidRPr="00A1764A">
        <w:rPr>
          <w:rFonts w:ascii="Arial" w:hAnsi="Arial" w:cs="Arial"/>
          <w:sz w:val="22"/>
          <w:szCs w:val="22"/>
        </w:rPr>
        <w:t>,</w:t>
      </w:r>
      <w:r w:rsidRPr="00A1764A">
        <w:rPr>
          <w:rFonts w:ascii="Arial" w:hAnsi="Arial" w:cs="Arial"/>
          <w:sz w:val="22"/>
          <w:szCs w:val="22"/>
        </w:rPr>
        <w:t xml:space="preserve"> and </w:t>
      </w:r>
      <w:r w:rsidR="00A774D8">
        <w:rPr>
          <w:rFonts w:ascii="Arial" w:hAnsi="Arial" w:cs="Arial"/>
          <w:sz w:val="22"/>
          <w:szCs w:val="22"/>
        </w:rPr>
        <w:t xml:space="preserve">a </w:t>
      </w:r>
      <w:r w:rsidRPr="00A1764A">
        <w:rPr>
          <w:rFonts w:ascii="Arial" w:hAnsi="Arial" w:cs="Arial"/>
          <w:sz w:val="22"/>
          <w:szCs w:val="22"/>
        </w:rPr>
        <w:t>convenience store. The dining hall atmosphere allows all of the campus population to h</w:t>
      </w:r>
      <w:r w:rsidR="003E6839" w:rsidRPr="00A1764A">
        <w:rPr>
          <w:rFonts w:ascii="Arial" w:hAnsi="Arial" w:cs="Arial"/>
          <w:sz w:val="22"/>
          <w:szCs w:val="22"/>
        </w:rPr>
        <w:t>ave a meal in the same facility,</w:t>
      </w:r>
      <w:r w:rsidRPr="00A1764A">
        <w:rPr>
          <w:rFonts w:ascii="Arial" w:hAnsi="Arial" w:cs="Arial"/>
          <w:sz w:val="22"/>
          <w:szCs w:val="22"/>
        </w:rPr>
        <w:t xml:space="preserve"> thus encouraging greater interaction and </w:t>
      </w:r>
      <w:r w:rsidR="00A774D8">
        <w:rPr>
          <w:rFonts w:ascii="Arial" w:hAnsi="Arial" w:cs="Arial"/>
          <w:sz w:val="22"/>
          <w:szCs w:val="22"/>
        </w:rPr>
        <w:t xml:space="preserve">sense of </w:t>
      </w:r>
      <w:r w:rsidRPr="00A1764A">
        <w:rPr>
          <w:rFonts w:ascii="Arial" w:hAnsi="Arial" w:cs="Arial"/>
          <w:sz w:val="22"/>
          <w:szCs w:val="22"/>
        </w:rPr>
        <w:t>community. Montana Tech Dining Services also provides two satellite operations</w:t>
      </w:r>
      <w:r w:rsidR="003E6839" w:rsidRPr="00A1764A">
        <w:rPr>
          <w:rFonts w:ascii="Arial" w:hAnsi="Arial" w:cs="Arial"/>
          <w:sz w:val="22"/>
          <w:szCs w:val="22"/>
        </w:rPr>
        <w:t>, the Coffee Mill</w:t>
      </w:r>
      <w:r w:rsidRPr="00A1764A">
        <w:rPr>
          <w:rFonts w:ascii="Arial" w:hAnsi="Arial" w:cs="Arial"/>
          <w:sz w:val="22"/>
          <w:szCs w:val="22"/>
        </w:rPr>
        <w:t xml:space="preserve"> located in the Mill Building and the College of Technology (COT) Snack Bar located on the South Campus. The Marcus Deli Buffet provides a variety of nutritious, buffet-style meals. There is an ever-changing choice of entrees, homemade soups, extensive salad bar, fresh fruits, baked desserts, and traditional fast-food favorites. The Fire House </w:t>
      </w:r>
      <w:r w:rsidR="00B50D8A">
        <w:rPr>
          <w:rFonts w:ascii="Arial" w:hAnsi="Arial" w:cs="Arial"/>
          <w:sz w:val="22"/>
          <w:szCs w:val="22"/>
        </w:rPr>
        <w:t>Grill features traditional fast-</w:t>
      </w:r>
      <w:r w:rsidRPr="00A1764A">
        <w:rPr>
          <w:rFonts w:ascii="Arial" w:hAnsi="Arial" w:cs="Arial"/>
          <w:sz w:val="22"/>
          <w:szCs w:val="22"/>
        </w:rPr>
        <w:t>food favorites</w:t>
      </w:r>
      <w:r w:rsidR="00273445">
        <w:rPr>
          <w:rFonts w:ascii="Arial" w:hAnsi="Arial" w:cs="Arial"/>
          <w:sz w:val="22"/>
          <w:szCs w:val="22"/>
        </w:rPr>
        <w:t xml:space="preserve"> includ</w:t>
      </w:r>
      <w:r w:rsidR="005642DF">
        <w:rPr>
          <w:rFonts w:ascii="Arial" w:hAnsi="Arial" w:cs="Arial"/>
          <w:sz w:val="22"/>
          <w:szCs w:val="22"/>
        </w:rPr>
        <w:t>ing hearty burgers,</w:t>
      </w:r>
      <w:r w:rsidRPr="00A1764A">
        <w:rPr>
          <w:rFonts w:ascii="Arial" w:hAnsi="Arial" w:cs="Arial"/>
          <w:sz w:val="22"/>
          <w:szCs w:val="22"/>
        </w:rPr>
        <w:t xml:space="preserve"> fries, breakfast items, fresh subs</w:t>
      </w:r>
      <w:r w:rsidR="002A5F8E">
        <w:rPr>
          <w:rFonts w:ascii="Arial" w:hAnsi="Arial" w:cs="Arial"/>
          <w:sz w:val="22"/>
          <w:szCs w:val="22"/>
        </w:rPr>
        <w:t>,</w:t>
      </w:r>
      <w:r w:rsidRPr="00A1764A">
        <w:rPr>
          <w:rFonts w:ascii="Arial" w:hAnsi="Arial" w:cs="Arial"/>
          <w:sz w:val="22"/>
          <w:szCs w:val="22"/>
        </w:rPr>
        <w:t xml:space="preserve"> and much more. The convenience store carries a wide variety of grab-and-go </w:t>
      </w:r>
      <w:r w:rsidRPr="00A1764A">
        <w:rPr>
          <w:rFonts w:ascii="Arial" w:hAnsi="Arial" w:cs="Arial"/>
          <w:sz w:val="22"/>
          <w:szCs w:val="22"/>
        </w:rPr>
        <w:lastRenderedPageBreak/>
        <w:t>products for those on</w:t>
      </w:r>
      <w:r w:rsidRPr="00AB1C7D">
        <w:rPr>
          <w:rFonts w:ascii="Arial" w:hAnsi="Arial" w:cs="Arial"/>
          <w:sz w:val="22"/>
          <w:szCs w:val="22"/>
        </w:rPr>
        <w:t xml:space="preserve"> the run. The Coffee Mill provides a cozy atmosphere, featuring Starbucks gourmet coffee and espresso, a fast and efficient grab-and-go menu, and fresh baked pastries. </w:t>
      </w:r>
      <w:r w:rsidR="00273445">
        <w:rPr>
          <w:rFonts w:ascii="Arial" w:hAnsi="Arial" w:cs="Arial"/>
          <w:sz w:val="22"/>
          <w:szCs w:val="22"/>
        </w:rPr>
        <w:t xml:space="preserve">The </w:t>
      </w:r>
      <w:r w:rsidRPr="00AB1C7D">
        <w:rPr>
          <w:rFonts w:ascii="Arial" w:hAnsi="Arial" w:cs="Arial"/>
          <w:sz w:val="22"/>
          <w:szCs w:val="22"/>
        </w:rPr>
        <w:t>College of Technology Snack Bar features traditional fast food favorites</w:t>
      </w:r>
      <w:r w:rsidR="005D6195">
        <w:rPr>
          <w:rFonts w:ascii="Arial" w:hAnsi="Arial" w:cs="Arial"/>
          <w:sz w:val="22"/>
          <w:szCs w:val="22"/>
        </w:rPr>
        <w:t>,</w:t>
      </w:r>
      <w:r w:rsidRPr="00AB1C7D">
        <w:rPr>
          <w:rFonts w:ascii="Arial" w:hAnsi="Arial" w:cs="Arial"/>
          <w:sz w:val="22"/>
          <w:szCs w:val="22"/>
        </w:rPr>
        <w:t xml:space="preserve"> includin</w:t>
      </w:r>
      <w:r w:rsidR="005642DF">
        <w:rPr>
          <w:rFonts w:ascii="Arial" w:hAnsi="Arial" w:cs="Arial"/>
          <w:sz w:val="22"/>
          <w:szCs w:val="22"/>
        </w:rPr>
        <w:t>g burgers, sandwiches, salads,</w:t>
      </w:r>
      <w:r w:rsidRPr="00AB1C7D">
        <w:rPr>
          <w:rFonts w:ascii="Arial" w:hAnsi="Arial" w:cs="Arial"/>
          <w:sz w:val="22"/>
          <w:szCs w:val="22"/>
        </w:rPr>
        <w:t xml:space="preserve"> fries, and breakfast items. This operation also carries a va</w:t>
      </w:r>
      <w:r w:rsidR="003E6839" w:rsidRPr="00AB1C7D">
        <w:rPr>
          <w:rFonts w:ascii="Arial" w:hAnsi="Arial" w:cs="Arial"/>
          <w:sz w:val="22"/>
          <w:szCs w:val="22"/>
        </w:rPr>
        <w:t>riety of grab-and-go selections,</w:t>
      </w:r>
      <w:r w:rsidRPr="00AB1C7D">
        <w:rPr>
          <w:rFonts w:ascii="Arial" w:hAnsi="Arial" w:cs="Arial"/>
          <w:sz w:val="22"/>
          <w:szCs w:val="22"/>
        </w:rPr>
        <w:t xml:space="preserve"> which include beverages, baked goods, and chips. </w:t>
      </w:r>
    </w:p>
    <w:p w:rsidR="00A43655" w:rsidRPr="00A90DB1" w:rsidRDefault="00A43655" w:rsidP="001B4D6A">
      <w:pPr>
        <w:rPr>
          <w:rFonts w:ascii="Arial" w:hAnsi="Arial" w:cs="Arial"/>
          <w:sz w:val="22"/>
          <w:szCs w:val="22"/>
        </w:rPr>
      </w:pPr>
    </w:p>
    <w:p w:rsidR="00AD6BE7" w:rsidRPr="00A90DB1" w:rsidRDefault="00AD6BE7" w:rsidP="001B4D6A">
      <w:pPr>
        <w:rPr>
          <w:rFonts w:ascii="Arial" w:hAnsi="Arial" w:cs="Arial"/>
          <w:sz w:val="22"/>
          <w:szCs w:val="22"/>
        </w:rPr>
      </w:pPr>
      <w:r w:rsidRPr="00A90DB1">
        <w:rPr>
          <w:rFonts w:ascii="Arial" w:hAnsi="Arial" w:cs="Arial"/>
          <w:sz w:val="22"/>
          <w:szCs w:val="22"/>
        </w:rPr>
        <w:t>All Di</w:t>
      </w:r>
      <w:r w:rsidR="00273445">
        <w:rPr>
          <w:rFonts w:ascii="Arial" w:hAnsi="Arial" w:cs="Arial"/>
          <w:sz w:val="22"/>
          <w:szCs w:val="22"/>
        </w:rPr>
        <w:t>ning Services staff are</w:t>
      </w:r>
      <w:r w:rsidRPr="00A90DB1">
        <w:rPr>
          <w:rFonts w:ascii="Arial" w:hAnsi="Arial" w:cs="Arial"/>
          <w:sz w:val="22"/>
          <w:szCs w:val="22"/>
        </w:rPr>
        <w:t xml:space="preserve"> trained through the Serve-Safe prog</w:t>
      </w:r>
      <w:r w:rsidR="002A5F8E" w:rsidRPr="00A90DB1">
        <w:rPr>
          <w:rFonts w:ascii="Arial" w:hAnsi="Arial" w:cs="Arial"/>
          <w:sz w:val="22"/>
          <w:szCs w:val="22"/>
        </w:rPr>
        <w:t>ram. This comprehensive</w:t>
      </w:r>
      <w:r w:rsidRPr="00A90DB1">
        <w:rPr>
          <w:rFonts w:ascii="Arial" w:hAnsi="Arial" w:cs="Arial"/>
          <w:sz w:val="22"/>
          <w:szCs w:val="22"/>
        </w:rPr>
        <w:t xml:space="preserve"> program</w:t>
      </w:r>
      <w:r w:rsidR="00273445">
        <w:rPr>
          <w:rFonts w:ascii="Arial" w:hAnsi="Arial" w:cs="Arial"/>
          <w:sz w:val="22"/>
          <w:szCs w:val="22"/>
        </w:rPr>
        <w:t>,</w:t>
      </w:r>
      <w:r w:rsidRPr="00A90DB1">
        <w:rPr>
          <w:rFonts w:ascii="Arial" w:hAnsi="Arial" w:cs="Arial"/>
          <w:sz w:val="22"/>
          <w:szCs w:val="22"/>
        </w:rPr>
        <w:t xml:space="preserve"> from the National Restaurant Association</w:t>
      </w:r>
      <w:r w:rsidR="00273445">
        <w:rPr>
          <w:rFonts w:ascii="Arial" w:hAnsi="Arial" w:cs="Arial"/>
          <w:sz w:val="22"/>
          <w:szCs w:val="22"/>
        </w:rPr>
        <w:t>,</w:t>
      </w:r>
      <w:r w:rsidRPr="00A90DB1">
        <w:rPr>
          <w:rFonts w:ascii="Arial" w:hAnsi="Arial" w:cs="Arial"/>
          <w:sz w:val="22"/>
          <w:szCs w:val="22"/>
        </w:rPr>
        <w:t xml:space="preserve"> provides training in the proper handling of food </w:t>
      </w:r>
      <w:r w:rsidR="002A5F8E" w:rsidRPr="00A90DB1">
        <w:rPr>
          <w:rFonts w:ascii="Arial" w:hAnsi="Arial" w:cs="Arial"/>
          <w:sz w:val="22"/>
          <w:szCs w:val="22"/>
        </w:rPr>
        <w:t>products for public consumption</w:t>
      </w:r>
      <w:r w:rsidRPr="00A90DB1">
        <w:rPr>
          <w:rFonts w:ascii="Arial" w:hAnsi="Arial" w:cs="Arial"/>
          <w:sz w:val="22"/>
          <w:szCs w:val="22"/>
        </w:rPr>
        <w:t xml:space="preserve"> and is approved by the </w:t>
      </w:r>
      <w:r w:rsidR="00A90DB1" w:rsidRPr="00A90DB1">
        <w:rPr>
          <w:rFonts w:ascii="Arial" w:hAnsi="Arial" w:cs="Arial"/>
          <w:sz w:val="22"/>
          <w:szCs w:val="22"/>
        </w:rPr>
        <w:t xml:space="preserve">State </w:t>
      </w:r>
      <w:r w:rsidRPr="00A90DB1">
        <w:rPr>
          <w:rFonts w:ascii="Arial" w:hAnsi="Arial" w:cs="Arial"/>
          <w:sz w:val="22"/>
          <w:szCs w:val="22"/>
        </w:rPr>
        <w:t>Health Department.  All employees of din</w:t>
      </w:r>
      <w:r w:rsidR="00A90DB1" w:rsidRPr="00A90DB1">
        <w:rPr>
          <w:rFonts w:ascii="Arial" w:hAnsi="Arial" w:cs="Arial"/>
          <w:sz w:val="22"/>
          <w:szCs w:val="22"/>
        </w:rPr>
        <w:t>ing services are required to be</w:t>
      </w:r>
      <w:r w:rsidR="00A90DB1">
        <w:rPr>
          <w:rFonts w:ascii="Arial" w:hAnsi="Arial" w:cs="Arial"/>
          <w:sz w:val="22"/>
          <w:szCs w:val="22"/>
        </w:rPr>
        <w:t xml:space="preserve"> </w:t>
      </w:r>
      <w:r w:rsidR="00A90DB1" w:rsidRPr="00A90DB1">
        <w:rPr>
          <w:rFonts w:ascii="Arial" w:hAnsi="Arial" w:cs="Arial"/>
          <w:sz w:val="22"/>
          <w:szCs w:val="22"/>
        </w:rPr>
        <w:t>Serve-S</w:t>
      </w:r>
      <w:r w:rsidRPr="00A90DB1">
        <w:rPr>
          <w:rFonts w:ascii="Arial" w:hAnsi="Arial" w:cs="Arial"/>
          <w:sz w:val="22"/>
          <w:szCs w:val="22"/>
        </w:rPr>
        <w:t xml:space="preserve">afe certified or, become certified within one year of hire. Training is provided annually to ensure </w:t>
      </w:r>
      <w:r w:rsidR="00A90DB1">
        <w:rPr>
          <w:rFonts w:ascii="Arial" w:hAnsi="Arial" w:cs="Arial"/>
          <w:sz w:val="22"/>
          <w:szCs w:val="22"/>
        </w:rPr>
        <w:t xml:space="preserve">that </w:t>
      </w:r>
      <w:r w:rsidRPr="00A90DB1">
        <w:rPr>
          <w:rFonts w:ascii="Arial" w:hAnsi="Arial" w:cs="Arial"/>
          <w:sz w:val="22"/>
          <w:szCs w:val="22"/>
        </w:rPr>
        <w:t>all food service product</w:t>
      </w:r>
      <w:r w:rsidR="00273445">
        <w:rPr>
          <w:rFonts w:ascii="Arial" w:hAnsi="Arial" w:cs="Arial"/>
          <w:sz w:val="22"/>
          <w:szCs w:val="22"/>
        </w:rPr>
        <w:t>s</w:t>
      </w:r>
      <w:r w:rsidRPr="00A90DB1">
        <w:rPr>
          <w:rFonts w:ascii="Arial" w:hAnsi="Arial" w:cs="Arial"/>
          <w:sz w:val="22"/>
          <w:szCs w:val="22"/>
        </w:rPr>
        <w:t xml:space="preserve"> and practices follow nationally recognized standards for nutrition, health</w:t>
      </w:r>
      <w:r w:rsidR="00A90DB1">
        <w:rPr>
          <w:rFonts w:ascii="Arial" w:hAnsi="Arial" w:cs="Arial"/>
          <w:sz w:val="22"/>
          <w:szCs w:val="22"/>
        </w:rPr>
        <w:t>,</w:t>
      </w:r>
      <w:r w:rsidRPr="00A90DB1">
        <w:rPr>
          <w:rFonts w:ascii="Arial" w:hAnsi="Arial" w:cs="Arial"/>
          <w:sz w:val="22"/>
          <w:szCs w:val="22"/>
        </w:rPr>
        <w:t xml:space="preserve"> and safety. </w:t>
      </w:r>
    </w:p>
    <w:p w:rsidR="00AD6BE7" w:rsidRDefault="00AD6BE7" w:rsidP="001B4D6A">
      <w:pPr>
        <w:rPr>
          <w:rFonts w:ascii="Arial" w:hAnsi="Arial" w:cs="Arial"/>
          <w:sz w:val="22"/>
          <w:szCs w:val="22"/>
        </w:rPr>
      </w:pPr>
    </w:p>
    <w:p w:rsidR="007A131A" w:rsidRDefault="00C45C65" w:rsidP="001B4D6A">
      <w:pPr>
        <w:rPr>
          <w:rFonts w:ascii="Arial" w:hAnsi="Arial" w:cs="Arial"/>
          <w:sz w:val="22"/>
          <w:szCs w:val="22"/>
        </w:rPr>
      </w:pPr>
      <w:r w:rsidRPr="003E3FE2">
        <w:rPr>
          <w:rFonts w:ascii="Arial" w:hAnsi="Arial" w:cs="Arial"/>
          <w:sz w:val="22"/>
          <w:szCs w:val="22"/>
        </w:rPr>
        <w:t xml:space="preserve">In </w:t>
      </w:r>
      <w:r w:rsidR="00FA7F73" w:rsidRPr="003E3FE2">
        <w:rPr>
          <w:rFonts w:ascii="Arial" w:hAnsi="Arial" w:cs="Arial"/>
          <w:sz w:val="22"/>
          <w:szCs w:val="22"/>
        </w:rPr>
        <w:t xml:space="preserve">an </w:t>
      </w:r>
      <w:r w:rsidRPr="003E3FE2">
        <w:rPr>
          <w:rFonts w:ascii="Arial" w:hAnsi="Arial" w:cs="Arial"/>
          <w:sz w:val="22"/>
          <w:szCs w:val="22"/>
        </w:rPr>
        <w:t>effort to b</w:t>
      </w:r>
      <w:r w:rsidR="003D436D" w:rsidRPr="003E3FE2">
        <w:rPr>
          <w:rFonts w:ascii="Arial" w:hAnsi="Arial" w:cs="Arial"/>
          <w:sz w:val="22"/>
          <w:szCs w:val="22"/>
        </w:rPr>
        <w:t>e</w:t>
      </w:r>
      <w:r w:rsidR="00410B06" w:rsidRPr="003E3FE2">
        <w:rPr>
          <w:rFonts w:ascii="Arial" w:hAnsi="Arial" w:cs="Arial"/>
          <w:sz w:val="22"/>
          <w:szCs w:val="22"/>
        </w:rPr>
        <w:t xml:space="preserve"> more E</w:t>
      </w:r>
      <w:r w:rsidR="00FA7F73" w:rsidRPr="003E3FE2">
        <w:rPr>
          <w:rFonts w:ascii="Arial" w:hAnsi="Arial" w:cs="Arial"/>
          <w:sz w:val="22"/>
          <w:szCs w:val="22"/>
        </w:rPr>
        <w:t>arth-</w:t>
      </w:r>
      <w:r w:rsidRPr="003E3FE2">
        <w:rPr>
          <w:rFonts w:ascii="Arial" w:hAnsi="Arial" w:cs="Arial"/>
          <w:sz w:val="22"/>
          <w:szCs w:val="22"/>
        </w:rPr>
        <w:t xml:space="preserve">friendly, </w:t>
      </w:r>
      <w:r w:rsidR="0087373F" w:rsidRPr="003E3FE2">
        <w:rPr>
          <w:rFonts w:ascii="Arial" w:hAnsi="Arial" w:cs="Arial"/>
          <w:sz w:val="22"/>
          <w:szCs w:val="22"/>
        </w:rPr>
        <w:t>Dining Services established</w:t>
      </w:r>
      <w:r w:rsidR="003D436D" w:rsidRPr="003E3FE2">
        <w:rPr>
          <w:rFonts w:ascii="Arial" w:hAnsi="Arial" w:cs="Arial"/>
          <w:sz w:val="22"/>
          <w:szCs w:val="22"/>
        </w:rPr>
        <w:t>:</w:t>
      </w:r>
      <w:r w:rsidR="0087373F" w:rsidRPr="003E3FE2">
        <w:rPr>
          <w:rFonts w:ascii="Arial" w:hAnsi="Arial" w:cs="Arial"/>
          <w:sz w:val="22"/>
          <w:szCs w:val="22"/>
        </w:rPr>
        <w:t xml:space="preserve"> the “Farm to College” program</w:t>
      </w:r>
      <w:r w:rsidR="003E6839" w:rsidRPr="003E3FE2">
        <w:rPr>
          <w:rFonts w:ascii="Arial" w:hAnsi="Arial" w:cs="Arial"/>
          <w:sz w:val="22"/>
          <w:szCs w:val="22"/>
        </w:rPr>
        <w:t>,</w:t>
      </w:r>
      <w:r w:rsidR="00B212A1" w:rsidRPr="003E3FE2">
        <w:rPr>
          <w:rFonts w:ascii="Arial" w:hAnsi="Arial" w:cs="Arial"/>
          <w:sz w:val="22"/>
          <w:szCs w:val="22"/>
        </w:rPr>
        <w:t xml:space="preserve"> which helps lessen the</w:t>
      </w:r>
      <w:r w:rsidR="0087373F" w:rsidRPr="003E3FE2">
        <w:rPr>
          <w:rFonts w:ascii="Arial" w:hAnsi="Arial" w:cs="Arial"/>
          <w:sz w:val="22"/>
          <w:szCs w:val="22"/>
        </w:rPr>
        <w:t xml:space="preserve"> c</w:t>
      </w:r>
      <w:r w:rsidR="00224913" w:rsidRPr="003E3FE2">
        <w:rPr>
          <w:rFonts w:ascii="Arial" w:hAnsi="Arial" w:cs="Arial"/>
          <w:sz w:val="22"/>
          <w:szCs w:val="22"/>
        </w:rPr>
        <w:t>arbon foot</w:t>
      </w:r>
      <w:r w:rsidRPr="003E3FE2">
        <w:rPr>
          <w:rFonts w:ascii="Arial" w:hAnsi="Arial" w:cs="Arial"/>
          <w:sz w:val="22"/>
          <w:szCs w:val="22"/>
        </w:rPr>
        <w:t>print on earth;</w:t>
      </w:r>
      <w:r w:rsidR="00B212A1" w:rsidRPr="003E3FE2">
        <w:rPr>
          <w:rFonts w:ascii="Arial" w:hAnsi="Arial" w:cs="Arial"/>
          <w:sz w:val="22"/>
          <w:szCs w:val="22"/>
        </w:rPr>
        <w:t xml:space="preserve"> </w:t>
      </w:r>
      <w:r w:rsidRPr="003E3FE2">
        <w:rPr>
          <w:rFonts w:ascii="Arial" w:hAnsi="Arial" w:cs="Arial"/>
          <w:sz w:val="22"/>
          <w:szCs w:val="22"/>
        </w:rPr>
        <w:t>eliminated dining room trays</w:t>
      </w:r>
      <w:r w:rsidR="00547C09" w:rsidRPr="003E3FE2">
        <w:rPr>
          <w:rFonts w:ascii="Arial" w:hAnsi="Arial" w:cs="Arial"/>
          <w:sz w:val="22"/>
          <w:szCs w:val="22"/>
        </w:rPr>
        <w:t>,</w:t>
      </w:r>
      <w:r w:rsidRPr="003E3FE2">
        <w:rPr>
          <w:rFonts w:ascii="Arial" w:hAnsi="Arial" w:cs="Arial"/>
          <w:sz w:val="22"/>
          <w:szCs w:val="22"/>
        </w:rPr>
        <w:t xml:space="preserve"> </w:t>
      </w:r>
      <w:r w:rsidR="00547C09" w:rsidRPr="003E3FE2">
        <w:rPr>
          <w:rFonts w:ascii="Arial" w:hAnsi="Arial" w:cs="Arial"/>
          <w:sz w:val="22"/>
          <w:szCs w:val="22"/>
        </w:rPr>
        <w:t>reducing</w:t>
      </w:r>
      <w:r w:rsidRPr="003E3FE2">
        <w:rPr>
          <w:rFonts w:ascii="Arial" w:hAnsi="Arial" w:cs="Arial"/>
          <w:sz w:val="22"/>
          <w:szCs w:val="22"/>
        </w:rPr>
        <w:t xml:space="preserve"> h</w:t>
      </w:r>
      <w:r w:rsidR="0087373F" w:rsidRPr="003E3FE2">
        <w:rPr>
          <w:rFonts w:ascii="Arial" w:hAnsi="Arial" w:cs="Arial"/>
          <w:sz w:val="22"/>
          <w:szCs w:val="22"/>
        </w:rPr>
        <w:t>undreds of pounds of waste</w:t>
      </w:r>
      <w:r w:rsidR="00FA7F73" w:rsidRPr="003E3FE2">
        <w:rPr>
          <w:rFonts w:ascii="Arial" w:hAnsi="Arial" w:cs="Arial"/>
          <w:sz w:val="22"/>
          <w:szCs w:val="22"/>
        </w:rPr>
        <w:t xml:space="preserve"> &amp; </w:t>
      </w:r>
      <w:r w:rsidRPr="003E3FE2">
        <w:rPr>
          <w:rFonts w:ascii="Arial" w:hAnsi="Arial" w:cs="Arial"/>
          <w:sz w:val="22"/>
          <w:szCs w:val="22"/>
        </w:rPr>
        <w:t xml:space="preserve">saving </w:t>
      </w:r>
      <w:r w:rsidR="00135239" w:rsidRPr="003E3FE2">
        <w:rPr>
          <w:rFonts w:ascii="Arial" w:hAnsi="Arial" w:cs="Arial"/>
          <w:sz w:val="22"/>
          <w:szCs w:val="22"/>
        </w:rPr>
        <w:t>thousands of gallons of water</w:t>
      </w:r>
      <w:r w:rsidR="00547C09" w:rsidRPr="003E3FE2">
        <w:rPr>
          <w:rFonts w:ascii="Arial" w:hAnsi="Arial" w:cs="Arial"/>
          <w:sz w:val="22"/>
          <w:szCs w:val="22"/>
        </w:rPr>
        <w:t>; and switched to green products used</w:t>
      </w:r>
      <w:r w:rsidR="0087373F" w:rsidRPr="003E3FE2">
        <w:rPr>
          <w:rFonts w:ascii="Arial" w:hAnsi="Arial" w:cs="Arial"/>
          <w:sz w:val="22"/>
          <w:szCs w:val="22"/>
        </w:rPr>
        <w:t xml:space="preserve"> in</w:t>
      </w:r>
      <w:r w:rsidR="00A90DB1" w:rsidRPr="003E3FE2">
        <w:rPr>
          <w:rFonts w:ascii="Arial" w:hAnsi="Arial" w:cs="Arial"/>
          <w:sz w:val="22"/>
          <w:szCs w:val="22"/>
        </w:rPr>
        <w:t xml:space="preserve"> the dish machine</w:t>
      </w:r>
      <w:r w:rsidR="0087373F" w:rsidRPr="00C45C65">
        <w:rPr>
          <w:rFonts w:ascii="Arial" w:hAnsi="Arial" w:cs="Arial"/>
          <w:sz w:val="22"/>
          <w:szCs w:val="22"/>
        </w:rPr>
        <w:t>. The</w:t>
      </w:r>
      <w:r w:rsidR="0087373F" w:rsidRPr="004921EE">
        <w:rPr>
          <w:rFonts w:ascii="Arial" w:hAnsi="Arial" w:cs="Arial"/>
          <w:sz w:val="22"/>
          <w:szCs w:val="22"/>
        </w:rPr>
        <w:t xml:space="preserve"> campus Dining Services are inspected periodically by the Montana Department of Public Health and Human Services. </w:t>
      </w:r>
      <w:r w:rsidR="00FD474F" w:rsidRPr="004921EE">
        <w:rPr>
          <w:rFonts w:ascii="Arial" w:hAnsi="Arial" w:cs="Arial"/>
          <w:sz w:val="22"/>
          <w:szCs w:val="22"/>
        </w:rPr>
        <w:t>(</w:t>
      </w:r>
      <w:r w:rsidR="00FA7F73">
        <w:rPr>
          <w:rFonts w:ascii="Arial" w:hAnsi="Arial" w:cs="Arial"/>
          <w:sz w:val="22"/>
          <w:szCs w:val="22"/>
        </w:rPr>
        <w:t>S</w:t>
      </w:r>
      <w:r w:rsidR="00A90DB1" w:rsidRPr="004921EE">
        <w:rPr>
          <w:rFonts w:ascii="Arial" w:hAnsi="Arial" w:cs="Arial"/>
          <w:sz w:val="22"/>
          <w:szCs w:val="22"/>
        </w:rPr>
        <w:t xml:space="preserve">ee </w:t>
      </w:r>
      <w:r w:rsidR="00FD474F" w:rsidRPr="004921EE">
        <w:rPr>
          <w:rFonts w:ascii="Arial" w:hAnsi="Arial" w:cs="Arial"/>
          <w:sz w:val="22"/>
          <w:szCs w:val="22"/>
        </w:rPr>
        <w:t>Exhibit 3.D.</w:t>
      </w:r>
      <w:r w:rsidR="00076963" w:rsidRPr="004921EE">
        <w:rPr>
          <w:rFonts w:ascii="Arial" w:hAnsi="Arial" w:cs="Arial"/>
          <w:sz w:val="22"/>
          <w:szCs w:val="22"/>
        </w:rPr>
        <w:t>X</w:t>
      </w:r>
      <w:r w:rsidR="00FA7F73">
        <w:rPr>
          <w:rFonts w:ascii="Arial" w:hAnsi="Arial" w:cs="Arial"/>
          <w:sz w:val="22"/>
          <w:szCs w:val="22"/>
        </w:rPr>
        <w:t>:</w:t>
      </w:r>
      <w:r w:rsidR="00126410" w:rsidRPr="004921EE">
        <w:rPr>
          <w:rFonts w:ascii="Arial" w:hAnsi="Arial" w:cs="Arial"/>
          <w:sz w:val="22"/>
          <w:szCs w:val="22"/>
        </w:rPr>
        <w:t xml:space="preserve"> </w:t>
      </w:r>
      <w:r w:rsidR="00C11307" w:rsidRPr="004921EE">
        <w:rPr>
          <w:rFonts w:ascii="Arial" w:hAnsi="Arial" w:cs="Arial"/>
          <w:i/>
          <w:sz w:val="22"/>
          <w:szCs w:val="22"/>
          <w:u w:val="single"/>
        </w:rPr>
        <w:t>Dining Services Inspection Reports</w:t>
      </w:r>
      <w:r w:rsidR="00A90DB1" w:rsidRPr="004921EE">
        <w:rPr>
          <w:rFonts w:ascii="Arial" w:hAnsi="Arial" w:cs="Arial"/>
          <w:i/>
          <w:sz w:val="22"/>
          <w:szCs w:val="22"/>
          <w:u w:val="single"/>
        </w:rPr>
        <w:t>.</w:t>
      </w:r>
      <w:r w:rsidR="007505E1" w:rsidRPr="004921EE">
        <w:rPr>
          <w:rFonts w:ascii="Arial" w:hAnsi="Arial" w:cs="Arial"/>
          <w:sz w:val="22"/>
          <w:szCs w:val="22"/>
        </w:rPr>
        <w:t>)</w:t>
      </w:r>
      <w:r w:rsidR="0087373F" w:rsidRPr="00AB1C7D">
        <w:rPr>
          <w:rFonts w:ascii="Arial" w:hAnsi="Arial" w:cs="Arial"/>
          <w:sz w:val="22"/>
          <w:szCs w:val="22"/>
        </w:rPr>
        <w:t xml:space="preserve"> </w:t>
      </w:r>
    </w:p>
    <w:p w:rsidR="00C93F10" w:rsidRDefault="00C93F10" w:rsidP="001B4D6A">
      <w:pPr>
        <w:rPr>
          <w:rFonts w:ascii="Arial" w:hAnsi="Arial" w:cs="Arial"/>
          <w:sz w:val="22"/>
          <w:szCs w:val="22"/>
        </w:rPr>
      </w:pPr>
    </w:p>
    <w:p w:rsidR="00A13A5C" w:rsidRDefault="00A13A5C" w:rsidP="001B4D6A">
      <w:pPr>
        <w:rPr>
          <w:rFonts w:ascii="Arial" w:hAnsi="Arial" w:cs="Arial"/>
          <w:sz w:val="22"/>
          <w:szCs w:val="22"/>
        </w:rPr>
      </w:pPr>
      <w:r>
        <w:rPr>
          <w:rFonts w:ascii="Arial" w:hAnsi="Arial" w:cs="Arial"/>
          <w:sz w:val="22"/>
          <w:szCs w:val="22"/>
        </w:rPr>
        <w:br w:type="page"/>
      </w:r>
    </w:p>
    <w:p w:rsidR="00C93F10" w:rsidRDefault="00C93F10" w:rsidP="001B4D6A">
      <w:pPr>
        <w:rPr>
          <w:rFonts w:ascii="Arial" w:hAnsi="Arial" w:cs="Arial"/>
          <w:sz w:val="22"/>
          <w:szCs w:val="22"/>
        </w:rPr>
      </w:pPr>
    </w:p>
    <w:p w:rsidR="00071DB2" w:rsidRDefault="00071DB2" w:rsidP="001B4D6A">
      <w:pPr>
        <w:rPr>
          <w:rFonts w:ascii="Arial" w:hAnsi="Arial" w:cs="Arial"/>
          <w:sz w:val="22"/>
          <w:szCs w:val="22"/>
        </w:rPr>
      </w:pPr>
    </w:p>
    <w:p w:rsidR="00382733" w:rsidRDefault="00E21B15" w:rsidP="001B4D6A">
      <w:pPr>
        <w:rPr>
          <w:rFonts w:ascii="Arial" w:hAnsi="Arial" w:cs="Arial"/>
          <w:sz w:val="22"/>
          <w:szCs w:val="22"/>
        </w:rPr>
      </w:pPr>
      <w:r>
        <w:rPr>
          <w:rFonts w:ascii="Arial" w:hAnsi="Arial" w:cs="Arial"/>
          <w:noProof/>
          <w:sz w:val="22"/>
          <w:szCs w:val="22"/>
          <w:lang w:eastAsia="en-US"/>
        </w:rPr>
        <w:pict>
          <v:roundrect id="_x0000_s1030" style="position:absolute;margin-left:-14.4pt;margin-top:8.9pt;width:481.8pt;height:394.8pt;z-index:-251612672" arcsize="10923f" fillcolor="#bfbfbf">
            <v:fill opacity="19661f"/>
          </v:roundrect>
        </w:pict>
      </w:r>
    </w:p>
    <w:p w:rsidR="00382733" w:rsidRPr="00C04196" w:rsidRDefault="00382733" w:rsidP="001B4D6A">
      <w:pPr>
        <w:jc w:val="center"/>
        <w:rPr>
          <w:rFonts w:ascii="Arial" w:hAnsi="Arial" w:cs="Arial"/>
          <w:b/>
          <w:sz w:val="22"/>
          <w:szCs w:val="22"/>
        </w:rPr>
      </w:pPr>
      <w:r w:rsidRPr="00C04196">
        <w:rPr>
          <w:rFonts w:ascii="Arial" w:hAnsi="Arial" w:cs="Arial"/>
          <w:b/>
          <w:sz w:val="22"/>
          <w:szCs w:val="22"/>
        </w:rPr>
        <w:t>Closing the Loop</w:t>
      </w:r>
    </w:p>
    <w:p w:rsidR="00AE7A5E" w:rsidRPr="00C04196" w:rsidRDefault="00AE7A5E" w:rsidP="001B4D6A">
      <w:pPr>
        <w:jc w:val="center"/>
        <w:rPr>
          <w:rFonts w:ascii="Arial" w:hAnsi="Arial" w:cs="Arial"/>
          <w:b/>
          <w:sz w:val="22"/>
          <w:szCs w:val="22"/>
        </w:rPr>
      </w:pPr>
      <w:r w:rsidRPr="00C04196">
        <w:rPr>
          <w:rFonts w:ascii="Arial" w:hAnsi="Arial" w:cs="Arial"/>
          <w:b/>
          <w:sz w:val="22"/>
          <w:szCs w:val="22"/>
        </w:rPr>
        <w:t xml:space="preserve">Menu </w:t>
      </w:r>
      <w:r w:rsidR="00A43655" w:rsidRPr="00C04196">
        <w:rPr>
          <w:rFonts w:ascii="Arial" w:hAnsi="Arial" w:cs="Arial"/>
          <w:b/>
          <w:sz w:val="22"/>
          <w:szCs w:val="22"/>
        </w:rPr>
        <w:t>S</w:t>
      </w:r>
      <w:r w:rsidRPr="00C04196">
        <w:rPr>
          <w:rFonts w:ascii="Arial" w:hAnsi="Arial" w:cs="Arial"/>
          <w:b/>
          <w:sz w:val="22"/>
          <w:szCs w:val="22"/>
        </w:rPr>
        <w:t>election</w:t>
      </w:r>
    </w:p>
    <w:p w:rsidR="00AE7A5E" w:rsidRDefault="00AE7A5E" w:rsidP="001B4D6A">
      <w:pPr>
        <w:rPr>
          <w:rFonts w:ascii="Arial" w:hAnsi="Arial" w:cs="Arial"/>
          <w:sz w:val="22"/>
          <w:szCs w:val="22"/>
          <w:highlight w:val="yellow"/>
        </w:rPr>
      </w:pPr>
    </w:p>
    <w:p w:rsidR="00AE7A5E" w:rsidRPr="00382733" w:rsidRDefault="00AE7A5E" w:rsidP="001B4D6A">
      <w:pPr>
        <w:rPr>
          <w:rFonts w:ascii="Arial" w:hAnsi="Arial" w:cs="Arial"/>
          <w:bCs/>
          <w:sz w:val="22"/>
          <w:szCs w:val="22"/>
        </w:rPr>
      </w:pPr>
      <w:r w:rsidRPr="00382733">
        <w:rPr>
          <w:rFonts w:ascii="Arial" w:hAnsi="Arial" w:cs="Arial"/>
          <w:sz w:val="22"/>
          <w:szCs w:val="22"/>
        </w:rPr>
        <w:t xml:space="preserve">Student Satisfaction Survey Gaps </w:t>
      </w:r>
      <w:r w:rsidR="00A90DB1">
        <w:rPr>
          <w:rFonts w:ascii="Arial" w:hAnsi="Arial" w:cs="Arial"/>
          <w:sz w:val="22"/>
          <w:szCs w:val="22"/>
        </w:rPr>
        <w:t>(Figure</w:t>
      </w:r>
      <w:r w:rsidR="006C5871" w:rsidRPr="00382733">
        <w:rPr>
          <w:rFonts w:ascii="Arial" w:hAnsi="Arial" w:cs="Arial"/>
          <w:sz w:val="22"/>
          <w:szCs w:val="22"/>
        </w:rPr>
        <w:t xml:space="preserve"> 3.D.11) </w:t>
      </w:r>
      <w:r w:rsidRPr="00382733">
        <w:rPr>
          <w:rFonts w:ascii="Arial" w:hAnsi="Arial" w:cs="Arial"/>
          <w:sz w:val="22"/>
          <w:szCs w:val="22"/>
        </w:rPr>
        <w:t>pointed to a low satisfaction with food service selection</w:t>
      </w:r>
      <w:r w:rsidR="006C5871" w:rsidRPr="00382733">
        <w:rPr>
          <w:rFonts w:ascii="Arial" w:hAnsi="Arial" w:cs="Arial"/>
          <w:sz w:val="22"/>
          <w:szCs w:val="22"/>
        </w:rPr>
        <w:t xml:space="preserve"> available in the cafeteria. </w:t>
      </w:r>
      <w:r w:rsidR="00A90DB1">
        <w:rPr>
          <w:rFonts w:ascii="Arial" w:hAnsi="Arial" w:cs="Arial"/>
          <w:sz w:val="22"/>
          <w:szCs w:val="22"/>
        </w:rPr>
        <w:t>A</w:t>
      </w:r>
      <w:r w:rsidRPr="00382733">
        <w:rPr>
          <w:rFonts w:ascii="Arial" w:hAnsi="Arial" w:cs="Arial"/>
          <w:sz w:val="22"/>
          <w:szCs w:val="22"/>
        </w:rPr>
        <w:t xml:space="preserve"> menu committee </w:t>
      </w:r>
      <w:r w:rsidR="00A90DB1">
        <w:rPr>
          <w:rFonts w:ascii="Arial" w:hAnsi="Arial" w:cs="Arial"/>
          <w:sz w:val="22"/>
          <w:szCs w:val="22"/>
        </w:rPr>
        <w:t>was formed to implement</w:t>
      </w:r>
      <w:r w:rsidRPr="00382733">
        <w:rPr>
          <w:rFonts w:ascii="Arial" w:hAnsi="Arial" w:cs="Arial"/>
          <w:sz w:val="22"/>
          <w:szCs w:val="22"/>
        </w:rPr>
        <w:t xml:space="preserve"> 41 new items requested from surveys and </w:t>
      </w:r>
      <w:r w:rsidR="00A90DB1">
        <w:rPr>
          <w:rFonts w:ascii="Arial" w:hAnsi="Arial" w:cs="Arial"/>
          <w:sz w:val="22"/>
          <w:szCs w:val="22"/>
        </w:rPr>
        <w:t xml:space="preserve">to </w:t>
      </w:r>
      <w:r w:rsidR="004A75CD">
        <w:rPr>
          <w:rFonts w:ascii="Arial" w:hAnsi="Arial" w:cs="Arial"/>
          <w:sz w:val="22"/>
          <w:szCs w:val="22"/>
        </w:rPr>
        <w:t>meet with students on</w:t>
      </w:r>
      <w:r w:rsidRPr="00382733">
        <w:rPr>
          <w:rFonts w:ascii="Arial" w:hAnsi="Arial" w:cs="Arial"/>
          <w:sz w:val="22"/>
          <w:szCs w:val="22"/>
        </w:rPr>
        <w:t xml:space="preserve"> the </w:t>
      </w:r>
      <w:r w:rsidR="004A75CD">
        <w:rPr>
          <w:rFonts w:ascii="Arial" w:hAnsi="Arial" w:cs="Arial"/>
          <w:sz w:val="22"/>
          <w:szCs w:val="22"/>
        </w:rPr>
        <w:t xml:space="preserve">menu </w:t>
      </w:r>
      <w:r w:rsidR="00FA7F73">
        <w:rPr>
          <w:rFonts w:ascii="Arial" w:hAnsi="Arial" w:cs="Arial"/>
          <w:sz w:val="22"/>
          <w:szCs w:val="22"/>
        </w:rPr>
        <w:t>cycle for the following S</w:t>
      </w:r>
      <w:r w:rsidRPr="00382733">
        <w:rPr>
          <w:rFonts w:ascii="Arial" w:hAnsi="Arial" w:cs="Arial"/>
          <w:sz w:val="22"/>
          <w:szCs w:val="22"/>
        </w:rPr>
        <w:t>pring semester. When implementing new items, the team made sure to select locally or regio</w:t>
      </w:r>
      <w:r w:rsidR="004A75CD">
        <w:rPr>
          <w:rFonts w:ascii="Arial" w:hAnsi="Arial" w:cs="Arial"/>
          <w:sz w:val="22"/>
          <w:szCs w:val="22"/>
        </w:rPr>
        <w:t>nally grown items to support Tech’s</w:t>
      </w:r>
      <w:r w:rsidRPr="00382733">
        <w:rPr>
          <w:rFonts w:ascii="Arial" w:hAnsi="Arial" w:cs="Arial"/>
          <w:sz w:val="22"/>
          <w:szCs w:val="22"/>
        </w:rPr>
        <w:t xml:space="preserve"> marketing campaign of “Farm to College</w:t>
      </w:r>
      <w:r w:rsidR="004A75CD">
        <w:rPr>
          <w:rFonts w:ascii="Arial" w:hAnsi="Arial" w:cs="Arial"/>
          <w:sz w:val="22"/>
          <w:szCs w:val="22"/>
        </w:rPr>
        <w:t>,”</w:t>
      </w:r>
      <w:r w:rsidRPr="00382733">
        <w:rPr>
          <w:rFonts w:ascii="Arial" w:hAnsi="Arial" w:cs="Arial"/>
          <w:sz w:val="22"/>
          <w:szCs w:val="22"/>
        </w:rPr>
        <w:t xml:space="preserve"> which was rolled out </w:t>
      </w:r>
      <w:r w:rsidR="00FA7F73">
        <w:rPr>
          <w:rFonts w:ascii="Arial" w:hAnsi="Arial" w:cs="Arial"/>
          <w:sz w:val="22"/>
          <w:szCs w:val="22"/>
        </w:rPr>
        <w:t xml:space="preserve">in </w:t>
      </w:r>
      <w:r w:rsidR="00A43655">
        <w:rPr>
          <w:rFonts w:ascii="Arial" w:hAnsi="Arial" w:cs="Arial"/>
          <w:sz w:val="22"/>
          <w:szCs w:val="22"/>
        </w:rPr>
        <w:t>S</w:t>
      </w:r>
      <w:r w:rsidRPr="00382733">
        <w:rPr>
          <w:rFonts w:ascii="Arial" w:hAnsi="Arial" w:cs="Arial"/>
          <w:sz w:val="22"/>
          <w:szCs w:val="22"/>
        </w:rPr>
        <w:t>pring 2008 with an Orientation luncheon that had the theme “Taste of Montana.”</w:t>
      </w:r>
    </w:p>
    <w:p w:rsidR="00D863DD" w:rsidRDefault="00D863DD" w:rsidP="001B4D6A">
      <w:pPr>
        <w:jc w:val="center"/>
        <w:rPr>
          <w:rFonts w:ascii="Arial" w:hAnsi="Arial" w:cs="Arial"/>
          <w:b/>
          <w:sz w:val="22"/>
          <w:szCs w:val="22"/>
        </w:rPr>
      </w:pPr>
    </w:p>
    <w:p w:rsidR="00AE7A5E" w:rsidRPr="000A272E" w:rsidRDefault="00A13A5C" w:rsidP="001B4D6A">
      <w:pPr>
        <w:jc w:val="center"/>
        <w:rPr>
          <w:rFonts w:ascii="Arial" w:hAnsi="Arial" w:cs="Arial"/>
          <w:sz w:val="22"/>
          <w:szCs w:val="22"/>
        </w:rPr>
      </w:pPr>
      <w:r w:rsidRPr="00A13A5C">
        <w:rPr>
          <w:noProof/>
          <w:szCs w:val="22"/>
          <w:lang w:eastAsia="en-US"/>
        </w:rPr>
        <w:drawing>
          <wp:inline distT="0" distB="0" distL="0" distR="0">
            <wp:extent cx="4687910" cy="3200400"/>
            <wp:effectExtent l="19050" t="0" r="0" b="0"/>
            <wp:docPr id="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cstate="print"/>
                    <a:srcRect/>
                    <a:stretch>
                      <a:fillRect/>
                    </a:stretch>
                  </pic:blipFill>
                  <pic:spPr bwMode="auto">
                    <a:xfrm>
                      <a:off x="0" y="0"/>
                      <a:ext cx="4687910" cy="3200400"/>
                    </a:xfrm>
                    <a:prstGeom prst="rect">
                      <a:avLst/>
                    </a:prstGeom>
                    <a:solidFill>
                      <a:schemeClr val="bg1"/>
                    </a:solidFill>
                    <a:ln w="9525">
                      <a:noFill/>
                      <a:miter lim="800000"/>
                      <a:headEnd/>
                      <a:tailEnd/>
                    </a:ln>
                  </pic:spPr>
                </pic:pic>
              </a:graphicData>
            </a:graphic>
          </wp:inline>
        </w:drawing>
      </w:r>
    </w:p>
    <w:p w:rsidR="00140285" w:rsidRDefault="00140285" w:rsidP="001B4D6A">
      <w:pPr>
        <w:jc w:val="center"/>
        <w:rPr>
          <w:rFonts w:ascii="Arial" w:hAnsi="Arial" w:cs="Arial"/>
          <w:b/>
          <w:sz w:val="22"/>
          <w:szCs w:val="22"/>
        </w:rPr>
      </w:pPr>
    </w:p>
    <w:p w:rsidR="00A13A5C" w:rsidRDefault="00A13A5C" w:rsidP="001B4D6A">
      <w:pPr>
        <w:jc w:val="center"/>
        <w:rPr>
          <w:rFonts w:ascii="Arial" w:hAnsi="Arial" w:cs="Arial"/>
          <w:b/>
          <w:sz w:val="22"/>
          <w:szCs w:val="22"/>
        </w:rPr>
      </w:pPr>
    </w:p>
    <w:p w:rsidR="00A90DB1" w:rsidRPr="006C5871" w:rsidRDefault="00A90DB1" w:rsidP="001B4D6A">
      <w:pPr>
        <w:jc w:val="center"/>
        <w:rPr>
          <w:rFonts w:ascii="Arial" w:hAnsi="Arial" w:cs="Arial"/>
          <w:b/>
          <w:sz w:val="22"/>
          <w:szCs w:val="22"/>
        </w:rPr>
      </w:pPr>
      <w:r>
        <w:rPr>
          <w:rFonts w:ascii="Arial" w:hAnsi="Arial" w:cs="Arial"/>
          <w:b/>
          <w:sz w:val="22"/>
          <w:szCs w:val="22"/>
        </w:rPr>
        <w:t>Figure</w:t>
      </w:r>
      <w:r w:rsidRPr="006C5871">
        <w:rPr>
          <w:rFonts w:ascii="Arial" w:hAnsi="Arial" w:cs="Arial"/>
          <w:b/>
          <w:sz w:val="22"/>
          <w:szCs w:val="22"/>
        </w:rPr>
        <w:t xml:space="preserve"> 3.D.11</w:t>
      </w:r>
      <w:r>
        <w:rPr>
          <w:rFonts w:ascii="Arial" w:hAnsi="Arial" w:cs="Arial"/>
          <w:b/>
          <w:sz w:val="22"/>
          <w:szCs w:val="22"/>
        </w:rPr>
        <w:t>: Menu Selection</w:t>
      </w:r>
    </w:p>
    <w:p w:rsidR="00A90DB1" w:rsidRDefault="00A90DB1" w:rsidP="001B4D6A">
      <w:pPr>
        <w:rPr>
          <w:rFonts w:ascii="Arial" w:hAnsi="Arial" w:cs="Arial"/>
          <w:sz w:val="22"/>
          <w:szCs w:val="22"/>
        </w:rPr>
      </w:pPr>
    </w:p>
    <w:p w:rsidR="00DD4892" w:rsidRPr="00251262" w:rsidRDefault="00A43655" w:rsidP="001B4D6A">
      <w:pPr>
        <w:rPr>
          <w:rFonts w:ascii="Arial" w:hAnsi="Arial" w:cs="Arial"/>
          <w:color w:val="0000FF"/>
          <w:sz w:val="22"/>
          <w:szCs w:val="22"/>
        </w:rPr>
      </w:pPr>
      <w:r>
        <w:rPr>
          <w:rFonts w:ascii="Arial" w:hAnsi="Arial" w:cs="Arial"/>
          <w:sz w:val="22"/>
          <w:szCs w:val="22"/>
        </w:rPr>
        <w:t xml:space="preserve">In </w:t>
      </w:r>
      <w:r w:rsidR="00251262" w:rsidRPr="003A2408">
        <w:rPr>
          <w:rFonts w:ascii="Arial" w:hAnsi="Arial" w:cs="Arial"/>
          <w:sz w:val="22"/>
          <w:szCs w:val="22"/>
        </w:rPr>
        <w:t>Fall 2009, Dining Services implement</w:t>
      </w:r>
      <w:r w:rsidR="004A75CD">
        <w:rPr>
          <w:rFonts w:ascii="Arial" w:hAnsi="Arial" w:cs="Arial"/>
          <w:sz w:val="22"/>
          <w:szCs w:val="22"/>
        </w:rPr>
        <w:t>ed a comment card program. The D</w:t>
      </w:r>
      <w:r w:rsidR="00251262" w:rsidRPr="003A2408">
        <w:rPr>
          <w:rFonts w:ascii="Arial" w:hAnsi="Arial" w:cs="Arial"/>
          <w:sz w:val="22"/>
          <w:szCs w:val="22"/>
        </w:rPr>
        <w:t>irector responds weekly and posts all responses on the b</w:t>
      </w:r>
      <w:r w:rsidR="00FA7F73">
        <w:rPr>
          <w:rFonts w:ascii="Arial" w:hAnsi="Arial" w:cs="Arial"/>
          <w:sz w:val="22"/>
          <w:szCs w:val="22"/>
        </w:rPr>
        <w:t>ulletin board in the dining hall</w:t>
      </w:r>
      <w:r w:rsidR="00251262" w:rsidRPr="003A2408">
        <w:rPr>
          <w:rFonts w:ascii="Arial" w:hAnsi="Arial" w:cs="Arial"/>
          <w:sz w:val="22"/>
          <w:szCs w:val="22"/>
        </w:rPr>
        <w:t xml:space="preserve">.  This </w:t>
      </w:r>
      <w:r w:rsidR="004A75CD">
        <w:rPr>
          <w:rFonts w:ascii="Arial" w:hAnsi="Arial" w:cs="Arial"/>
          <w:sz w:val="22"/>
          <w:szCs w:val="22"/>
        </w:rPr>
        <w:t xml:space="preserve">strategy </w:t>
      </w:r>
      <w:r w:rsidR="00251262" w:rsidRPr="003A2408">
        <w:rPr>
          <w:rFonts w:ascii="Arial" w:hAnsi="Arial" w:cs="Arial"/>
          <w:sz w:val="22"/>
          <w:szCs w:val="22"/>
        </w:rPr>
        <w:t>provides a constant source of f</w:t>
      </w:r>
      <w:r w:rsidR="004A75CD">
        <w:rPr>
          <w:rFonts w:ascii="Arial" w:hAnsi="Arial" w:cs="Arial"/>
          <w:sz w:val="22"/>
          <w:szCs w:val="22"/>
        </w:rPr>
        <w:t>eedback to “tune in” to student</w:t>
      </w:r>
      <w:r w:rsidR="00251262" w:rsidRPr="003A2408">
        <w:rPr>
          <w:rFonts w:ascii="Arial" w:hAnsi="Arial" w:cs="Arial"/>
          <w:sz w:val="22"/>
          <w:szCs w:val="22"/>
        </w:rPr>
        <w:t xml:space="preserve"> eating habits and preferences </w:t>
      </w:r>
      <w:r w:rsidR="004A75CD">
        <w:rPr>
          <w:rFonts w:ascii="Arial" w:hAnsi="Arial" w:cs="Arial"/>
          <w:sz w:val="22"/>
          <w:szCs w:val="22"/>
        </w:rPr>
        <w:t>and allows Tech to improve</w:t>
      </w:r>
      <w:r w:rsidR="00251262" w:rsidRPr="003A2408">
        <w:rPr>
          <w:rFonts w:ascii="Arial" w:hAnsi="Arial" w:cs="Arial"/>
          <w:sz w:val="22"/>
          <w:szCs w:val="22"/>
        </w:rPr>
        <w:t xml:space="preserve"> service to students on a regular basis</w:t>
      </w:r>
      <w:r w:rsidR="00251262" w:rsidRPr="00076963">
        <w:rPr>
          <w:rFonts w:ascii="Arial" w:hAnsi="Arial" w:cs="Arial"/>
          <w:sz w:val="22"/>
          <w:szCs w:val="22"/>
        </w:rPr>
        <w:t>.</w:t>
      </w:r>
      <w:r w:rsidR="00251262" w:rsidRPr="00076963">
        <w:rPr>
          <w:rFonts w:ascii="Arial" w:hAnsi="Arial" w:cs="Arial"/>
          <w:color w:val="0000FF"/>
          <w:sz w:val="22"/>
          <w:szCs w:val="22"/>
        </w:rPr>
        <w:t xml:space="preserve"> </w:t>
      </w:r>
      <w:r w:rsidR="00251262" w:rsidRPr="00076963">
        <w:rPr>
          <w:rFonts w:ascii="Arial" w:hAnsi="Arial" w:cs="Arial"/>
          <w:sz w:val="22"/>
          <w:szCs w:val="22"/>
        </w:rPr>
        <w:t>(</w:t>
      </w:r>
      <w:r w:rsidR="00FA7F73">
        <w:rPr>
          <w:rFonts w:ascii="Arial" w:hAnsi="Arial" w:cs="Arial"/>
          <w:sz w:val="22"/>
          <w:szCs w:val="22"/>
        </w:rPr>
        <w:t>S</w:t>
      </w:r>
      <w:r w:rsidR="004A75CD" w:rsidRPr="00076963">
        <w:rPr>
          <w:rFonts w:ascii="Arial" w:hAnsi="Arial" w:cs="Arial"/>
          <w:sz w:val="22"/>
          <w:szCs w:val="22"/>
        </w:rPr>
        <w:t xml:space="preserve">ee </w:t>
      </w:r>
      <w:r w:rsidR="00251262" w:rsidRPr="00076963">
        <w:rPr>
          <w:rFonts w:ascii="Arial" w:hAnsi="Arial" w:cs="Arial"/>
          <w:sz w:val="22"/>
          <w:szCs w:val="22"/>
        </w:rPr>
        <w:t>Exhibit 3.B.VII</w:t>
      </w:r>
      <w:r w:rsidR="004A75CD" w:rsidRPr="00076963">
        <w:rPr>
          <w:rFonts w:ascii="Arial" w:hAnsi="Arial" w:cs="Arial"/>
          <w:sz w:val="22"/>
          <w:szCs w:val="22"/>
        </w:rPr>
        <w:t xml:space="preserve">: </w:t>
      </w:r>
      <w:r w:rsidR="00076963" w:rsidRPr="00076963">
        <w:rPr>
          <w:rFonts w:ascii="Arial" w:hAnsi="Arial" w:cs="Arial"/>
          <w:i/>
          <w:sz w:val="22"/>
          <w:szCs w:val="22"/>
          <w:u w:val="single"/>
        </w:rPr>
        <w:t>Dining Hall</w:t>
      </w:r>
      <w:r w:rsidR="00076963" w:rsidRPr="00076963">
        <w:rPr>
          <w:rFonts w:ascii="Arial" w:hAnsi="Arial" w:cs="Arial"/>
          <w:sz w:val="22"/>
          <w:szCs w:val="22"/>
        </w:rPr>
        <w:t xml:space="preserve"> </w:t>
      </w:r>
      <w:r w:rsidR="004A75CD" w:rsidRPr="00076963">
        <w:rPr>
          <w:rFonts w:ascii="Arial" w:hAnsi="Arial" w:cs="Arial"/>
          <w:i/>
          <w:sz w:val="22"/>
          <w:szCs w:val="22"/>
          <w:u w:val="single"/>
        </w:rPr>
        <w:t>Surveys.</w:t>
      </w:r>
      <w:r w:rsidR="00251262" w:rsidRPr="00076963">
        <w:rPr>
          <w:rFonts w:ascii="Arial" w:hAnsi="Arial" w:cs="Arial"/>
          <w:sz w:val="22"/>
          <w:szCs w:val="22"/>
        </w:rPr>
        <w:t>)</w:t>
      </w:r>
    </w:p>
    <w:p w:rsidR="00DD4892" w:rsidRPr="00AB1C7D" w:rsidRDefault="00DD4892" w:rsidP="001B4D6A">
      <w:pPr>
        <w:rPr>
          <w:rFonts w:ascii="Arial" w:hAnsi="Arial" w:cs="Arial"/>
          <w:sz w:val="22"/>
          <w:szCs w:val="22"/>
        </w:rPr>
      </w:pPr>
    </w:p>
    <w:p w:rsidR="00C22A4C" w:rsidRPr="003E3FE2" w:rsidRDefault="00C22A4C" w:rsidP="001B4D6A">
      <w:pPr>
        <w:rPr>
          <w:rFonts w:ascii="Arial" w:hAnsi="Arial" w:cs="Arial"/>
          <w:sz w:val="22"/>
          <w:szCs w:val="22"/>
        </w:rPr>
      </w:pPr>
      <w:r w:rsidRPr="003E3FE2">
        <w:rPr>
          <w:rFonts w:ascii="Arial" w:hAnsi="Arial" w:cs="Arial"/>
          <w:sz w:val="22"/>
          <w:szCs w:val="22"/>
        </w:rPr>
        <w:t xml:space="preserve">The “Farm to College” program was created to encourage </w:t>
      </w:r>
      <w:r w:rsidR="00135239" w:rsidRPr="003E3FE2">
        <w:rPr>
          <w:rFonts w:ascii="Arial" w:hAnsi="Arial" w:cs="Arial"/>
          <w:sz w:val="22"/>
          <w:szCs w:val="22"/>
        </w:rPr>
        <w:t xml:space="preserve">the </w:t>
      </w:r>
      <w:r w:rsidRPr="003E3FE2">
        <w:rPr>
          <w:rFonts w:ascii="Arial" w:hAnsi="Arial" w:cs="Arial"/>
          <w:sz w:val="22"/>
          <w:szCs w:val="22"/>
        </w:rPr>
        <w:t>purchase of products from local and regional sources.  Tech Dining Services purchases approximately 12% of products from local and regional vendors. Some of those include the use of Park Street Pasties, Butte Produce and Bausch Potato, all of which are located in Montana.  Dining Service</w:t>
      </w:r>
      <w:r w:rsidR="00FA7F73" w:rsidRPr="003E3FE2">
        <w:rPr>
          <w:rFonts w:ascii="Arial" w:hAnsi="Arial" w:cs="Arial"/>
          <w:sz w:val="22"/>
          <w:szCs w:val="22"/>
        </w:rPr>
        <w:t>’</w:t>
      </w:r>
      <w:r w:rsidRPr="003E3FE2">
        <w:rPr>
          <w:rFonts w:ascii="Arial" w:hAnsi="Arial" w:cs="Arial"/>
          <w:sz w:val="22"/>
          <w:szCs w:val="22"/>
        </w:rPr>
        <w:t>s goal is to maintain an ongoing effort to use local and regional product</w:t>
      </w:r>
      <w:r w:rsidR="00135239" w:rsidRPr="003E3FE2">
        <w:rPr>
          <w:rFonts w:ascii="Arial" w:hAnsi="Arial" w:cs="Arial"/>
          <w:sz w:val="22"/>
          <w:szCs w:val="22"/>
        </w:rPr>
        <w:t>s</w:t>
      </w:r>
      <w:r w:rsidRPr="003E3FE2">
        <w:rPr>
          <w:rFonts w:ascii="Arial" w:hAnsi="Arial" w:cs="Arial"/>
          <w:sz w:val="22"/>
          <w:szCs w:val="22"/>
        </w:rPr>
        <w:t>, and to expand the program where possible.</w:t>
      </w:r>
    </w:p>
    <w:p w:rsidR="00DD4892" w:rsidRPr="00AB1C7D" w:rsidRDefault="00DD4892" w:rsidP="001B4D6A">
      <w:pPr>
        <w:rPr>
          <w:rFonts w:ascii="Arial" w:hAnsi="Arial" w:cs="Arial"/>
          <w:sz w:val="22"/>
          <w:szCs w:val="22"/>
        </w:rPr>
      </w:pPr>
      <w:r w:rsidRPr="00AB1C7D">
        <w:rPr>
          <w:rFonts w:ascii="Arial" w:hAnsi="Arial" w:cs="Arial"/>
          <w:sz w:val="22"/>
          <w:szCs w:val="22"/>
        </w:rPr>
        <w:t xml:space="preserve"> </w:t>
      </w:r>
    </w:p>
    <w:p w:rsidR="004D2808" w:rsidRDefault="009A392B" w:rsidP="001B4D6A">
      <w:pPr>
        <w:rPr>
          <w:rFonts w:ascii="Arial" w:hAnsi="Arial" w:cs="Arial"/>
          <w:b/>
          <w:sz w:val="22"/>
          <w:szCs w:val="22"/>
        </w:rPr>
      </w:pPr>
      <w:r w:rsidRPr="00AB1C7D">
        <w:rPr>
          <w:rFonts w:ascii="Arial" w:hAnsi="Arial" w:cs="Arial"/>
          <w:b/>
          <w:sz w:val="22"/>
          <w:szCs w:val="22"/>
        </w:rPr>
        <w:t>3.D.15</w:t>
      </w:r>
      <w:r w:rsidRPr="00AB1C7D">
        <w:rPr>
          <w:rFonts w:ascii="Arial" w:hAnsi="Arial" w:cs="Arial"/>
          <w:b/>
          <w:sz w:val="22"/>
          <w:szCs w:val="22"/>
        </w:rPr>
        <w:tab/>
      </w:r>
      <w:r w:rsidR="004D2808" w:rsidRPr="00AB1C7D">
        <w:rPr>
          <w:rFonts w:ascii="Arial" w:hAnsi="Arial" w:cs="Arial"/>
          <w:b/>
          <w:sz w:val="22"/>
          <w:szCs w:val="22"/>
        </w:rPr>
        <w:t xml:space="preserve">Co-curricular activities and programs are offered that foster the intellectual and personal development of students consistent with the institution’s mission. The institution adheres to the spirit and intent of equal opportunity for participation. It ensures that appropriate services and facilities are accessible to students in its </w:t>
      </w:r>
      <w:r w:rsidR="004D2808" w:rsidRPr="00AB1C7D">
        <w:rPr>
          <w:rFonts w:ascii="Arial" w:hAnsi="Arial" w:cs="Arial"/>
          <w:b/>
          <w:sz w:val="22"/>
          <w:szCs w:val="22"/>
        </w:rPr>
        <w:lastRenderedPageBreak/>
        <w:t>programs. Co-curricular activities and programs include adaptation for traditionally under-represented students, such as physically disabled, older, ev</w:t>
      </w:r>
      <w:r w:rsidR="00273445">
        <w:rPr>
          <w:rFonts w:ascii="Arial" w:hAnsi="Arial" w:cs="Arial"/>
          <w:b/>
          <w:sz w:val="22"/>
          <w:szCs w:val="22"/>
        </w:rPr>
        <w:t>ening, part-time, commuter, and</w:t>
      </w:r>
      <w:r w:rsidR="004D2808" w:rsidRPr="00AB1C7D">
        <w:rPr>
          <w:rFonts w:ascii="Arial" w:hAnsi="Arial" w:cs="Arial"/>
          <w:b/>
          <w:sz w:val="22"/>
          <w:szCs w:val="22"/>
        </w:rPr>
        <w:t xml:space="preserve"> where applicable, those at off-campus sites.</w:t>
      </w:r>
    </w:p>
    <w:p w:rsidR="00100102" w:rsidRDefault="00100102" w:rsidP="001B4D6A">
      <w:pPr>
        <w:rPr>
          <w:rFonts w:ascii="Arial" w:hAnsi="Arial" w:cs="Arial"/>
          <w:color w:val="0000FF"/>
          <w:sz w:val="22"/>
          <w:szCs w:val="22"/>
        </w:rPr>
      </w:pPr>
    </w:p>
    <w:p w:rsidR="00100102" w:rsidRPr="00853E96" w:rsidRDefault="008F1DD5" w:rsidP="001B4D6A">
      <w:pPr>
        <w:rPr>
          <w:rFonts w:ascii="Arial" w:hAnsi="Arial" w:cs="Arial"/>
          <w:sz w:val="22"/>
          <w:szCs w:val="22"/>
        </w:rPr>
      </w:pPr>
      <w:r>
        <w:rPr>
          <w:rFonts w:ascii="Arial" w:hAnsi="Arial" w:cs="Arial"/>
          <w:sz w:val="22"/>
          <w:szCs w:val="22"/>
        </w:rPr>
        <w:t>T</w:t>
      </w:r>
      <w:r w:rsidR="00100102" w:rsidRPr="00853E96">
        <w:rPr>
          <w:rFonts w:ascii="Arial" w:hAnsi="Arial" w:cs="Arial"/>
          <w:sz w:val="22"/>
          <w:szCs w:val="22"/>
        </w:rPr>
        <w:t>he Director of the Student Union/Student Activities develops, promotes</w:t>
      </w:r>
      <w:r>
        <w:rPr>
          <w:rFonts w:ascii="Arial" w:hAnsi="Arial" w:cs="Arial"/>
          <w:sz w:val="22"/>
          <w:szCs w:val="22"/>
        </w:rPr>
        <w:t>,</w:t>
      </w:r>
      <w:r w:rsidR="00100102" w:rsidRPr="00853E96">
        <w:rPr>
          <w:rFonts w:ascii="Arial" w:hAnsi="Arial" w:cs="Arial"/>
          <w:sz w:val="22"/>
          <w:szCs w:val="22"/>
        </w:rPr>
        <w:t xml:space="preserve"> and manages co-curricular programs at Montana Tech. Student activity forums, field trips to National Parks, such as Yellowstone and Glacier, target under-represented and non-trad</w:t>
      </w:r>
      <w:r w:rsidR="004A2414">
        <w:rPr>
          <w:rFonts w:ascii="Arial" w:hAnsi="Arial" w:cs="Arial"/>
          <w:sz w:val="22"/>
          <w:szCs w:val="22"/>
        </w:rPr>
        <w:t>itional students, as well as Tech’s</w:t>
      </w:r>
      <w:r w:rsidR="00100102" w:rsidRPr="00853E96">
        <w:rPr>
          <w:rFonts w:ascii="Arial" w:hAnsi="Arial" w:cs="Arial"/>
          <w:sz w:val="22"/>
          <w:szCs w:val="22"/>
        </w:rPr>
        <w:t xml:space="preserve"> part-time and commuter students from the South Campus. Activities for the entire student body include: comedy shows, magic shows, music, scavenger hunts,</w:t>
      </w:r>
      <w:r w:rsidR="004A2414">
        <w:rPr>
          <w:rFonts w:ascii="Arial" w:hAnsi="Arial" w:cs="Arial"/>
          <w:sz w:val="22"/>
          <w:szCs w:val="22"/>
        </w:rPr>
        <w:t xml:space="preserve"> and</w:t>
      </w:r>
      <w:r w:rsidR="00100102" w:rsidRPr="00853E96">
        <w:rPr>
          <w:rFonts w:ascii="Arial" w:hAnsi="Arial" w:cs="Arial"/>
          <w:sz w:val="22"/>
          <w:szCs w:val="22"/>
        </w:rPr>
        <w:t xml:space="preserve"> trips to Lewis and Clark Caverns, </w:t>
      </w:r>
      <w:r w:rsidR="004A2414">
        <w:rPr>
          <w:rFonts w:ascii="Arial" w:hAnsi="Arial" w:cs="Arial"/>
          <w:sz w:val="22"/>
          <w:szCs w:val="22"/>
        </w:rPr>
        <w:t xml:space="preserve">to </w:t>
      </w:r>
      <w:r w:rsidR="00100102" w:rsidRPr="00853E96">
        <w:rPr>
          <w:rFonts w:ascii="Arial" w:hAnsi="Arial" w:cs="Arial"/>
          <w:sz w:val="22"/>
          <w:szCs w:val="22"/>
        </w:rPr>
        <w:t xml:space="preserve">Fairmont Hot Springs, and </w:t>
      </w:r>
      <w:r w:rsidR="004A2414">
        <w:rPr>
          <w:rFonts w:ascii="Arial" w:hAnsi="Arial" w:cs="Arial"/>
          <w:sz w:val="22"/>
          <w:szCs w:val="22"/>
        </w:rPr>
        <w:t xml:space="preserve">to </w:t>
      </w:r>
      <w:r w:rsidR="005642DF">
        <w:rPr>
          <w:rFonts w:ascii="Arial" w:hAnsi="Arial" w:cs="Arial"/>
          <w:sz w:val="22"/>
          <w:szCs w:val="22"/>
        </w:rPr>
        <w:t>the Discovery Ski Resort. In F</w:t>
      </w:r>
      <w:r w:rsidR="00100102" w:rsidRPr="00853E96">
        <w:rPr>
          <w:rFonts w:ascii="Arial" w:hAnsi="Arial" w:cs="Arial"/>
          <w:sz w:val="22"/>
          <w:szCs w:val="22"/>
        </w:rPr>
        <w:t>all</w:t>
      </w:r>
      <w:r w:rsidR="005642DF">
        <w:rPr>
          <w:rFonts w:ascii="Arial" w:hAnsi="Arial" w:cs="Arial"/>
          <w:sz w:val="22"/>
          <w:szCs w:val="22"/>
        </w:rPr>
        <w:t xml:space="preserve"> 2009</w:t>
      </w:r>
      <w:r w:rsidR="00100102" w:rsidRPr="00853E96">
        <w:rPr>
          <w:rFonts w:ascii="Arial" w:hAnsi="Arial" w:cs="Arial"/>
          <w:sz w:val="22"/>
          <w:szCs w:val="22"/>
        </w:rPr>
        <w:t xml:space="preserve">, a new sound system and projector were purchased to offer state-of-the-art theater quality </w:t>
      </w:r>
      <w:r w:rsidR="004A2414">
        <w:rPr>
          <w:rFonts w:ascii="Arial" w:hAnsi="Arial" w:cs="Arial"/>
          <w:sz w:val="22"/>
          <w:szCs w:val="22"/>
        </w:rPr>
        <w:t>for</w:t>
      </w:r>
      <w:r w:rsidR="00100102" w:rsidRPr="00853E96">
        <w:rPr>
          <w:rFonts w:ascii="Arial" w:hAnsi="Arial" w:cs="Arial"/>
          <w:sz w:val="22"/>
          <w:szCs w:val="22"/>
        </w:rPr>
        <w:t xml:space="preserve"> enhance</w:t>
      </w:r>
      <w:r w:rsidR="004A2414">
        <w:rPr>
          <w:rFonts w:ascii="Arial" w:hAnsi="Arial" w:cs="Arial"/>
          <w:sz w:val="22"/>
          <w:szCs w:val="22"/>
        </w:rPr>
        <w:t>d</w:t>
      </w:r>
      <w:r w:rsidR="00100102" w:rsidRPr="00853E96">
        <w:rPr>
          <w:rFonts w:ascii="Arial" w:hAnsi="Arial" w:cs="Arial"/>
          <w:sz w:val="22"/>
          <w:szCs w:val="22"/>
        </w:rPr>
        <w:t xml:space="preserve"> </w:t>
      </w:r>
      <w:r w:rsidR="00FA7F73">
        <w:rPr>
          <w:rFonts w:ascii="Arial" w:hAnsi="Arial" w:cs="Arial"/>
          <w:sz w:val="22"/>
          <w:szCs w:val="22"/>
        </w:rPr>
        <w:t>viewing of movies</w:t>
      </w:r>
      <w:r w:rsidR="00100102" w:rsidRPr="00853E96">
        <w:rPr>
          <w:rFonts w:ascii="Arial" w:hAnsi="Arial" w:cs="Arial"/>
          <w:sz w:val="22"/>
          <w:szCs w:val="22"/>
        </w:rPr>
        <w:t xml:space="preserve"> in the auditorium. </w:t>
      </w:r>
    </w:p>
    <w:p w:rsidR="00100102" w:rsidRPr="00853E96" w:rsidRDefault="00100102" w:rsidP="001B4D6A">
      <w:pPr>
        <w:rPr>
          <w:rFonts w:ascii="Arial" w:hAnsi="Arial" w:cs="Arial"/>
          <w:sz w:val="22"/>
          <w:szCs w:val="22"/>
        </w:rPr>
      </w:pPr>
    </w:p>
    <w:p w:rsidR="00100102" w:rsidRPr="00853E96" w:rsidRDefault="00100102" w:rsidP="001B4D6A">
      <w:pPr>
        <w:rPr>
          <w:rFonts w:ascii="Arial" w:hAnsi="Arial" w:cs="Arial"/>
          <w:sz w:val="22"/>
          <w:szCs w:val="22"/>
        </w:rPr>
      </w:pPr>
      <w:r w:rsidRPr="00853E96">
        <w:rPr>
          <w:rFonts w:ascii="Arial" w:hAnsi="Arial" w:cs="Arial"/>
          <w:sz w:val="22"/>
          <w:szCs w:val="22"/>
        </w:rPr>
        <w:t>The Associated Students of Montana Tech (ASMT) hires a student in a paid stipend position</w:t>
      </w:r>
      <w:r w:rsidR="004A2414">
        <w:rPr>
          <w:rFonts w:ascii="Arial" w:hAnsi="Arial" w:cs="Arial"/>
          <w:sz w:val="22"/>
          <w:szCs w:val="22"/>
        </w:rPr>
        <w:t xml:space="preserve">, </w:t>
      </w:r>
      <w:r w:rsidR="00FA7F73">
        <w:rPr>
          <w:rFonts w:ascii="Arial" w:hAnsi="Arial" w:cs="Arial"/>
          <w:sz w:val="22"/>
          <w:szCs w:val="22"/>
        </w:rPr>
        <w:t xml:space="preserve">as the </w:t>
      </w:r>
      <w:r w:rsidR="004A2414">
        <w:rPr>
          <w:rFonts w:ascii="Arial" w:hAnsi="Arial" w:cs="Arial"/>
          <w:sz w:val="22"/>
          <w:szCs w:val="22"/>
        </w:rPr>
        <w:t>Student Activities Chair (</w:t>
      </w:r>
      <w:r w:rsidRPr="00853E96">
        <w:rPr>
          <w:rFonts w:ascii="Arial" w:hAnsi="Arial" w:cs="Arial"/>
          <w:sz w:val="22"/>
          <w:szCs w:val="22"/>
        </w:rPr>
        <w:t>SAC)</w:t>
      </w:r>
      <w:r w:rsidR="004A2414">
        <w:rPr>
          <w:rFonts w:ascii="Arial" w:hAnsi="Arial" w:cs="Arial"/>
          <w:sz w:val="22"/>
          <w:szCs w:val="22"/>
        </w:rPr>
        <w:t>,</w:t>
      </w:r>
      <w:r w:rsidRPr="00853E96">
        <w:rPr>
          <w:rFonts w:ascii="Arial" w:hAnsi="Arial" w:cs="Arial"/>
          <w:sz w:val="22"/>
          <w:szCs w:val="22"/>
        </w:rPr>
        <w:t xml:space="preserve"> to provide co-curricular activities</w:t>
      </w:r>
      <w:r w:rsidR="004A2414">
        <w:rPr>
          <w:rFonts w:ascii="Arial" w:hAnsi="Arial" w:cs="Arial"/>
          <w:sz w:val="22"/>
          <w:szCs w:val="22"/>
        </w:rPr>
        <w:t>.</w:t>
      </w:r>
      <w:r w:rsidRPr="00853E96">
        <w:rPr>
          <w:rFonts w:ascii="Arial" w:hAnsi="Arial" w:cs="Arial"/>
          <w:sz w:val="22"/>
          <w:szCs w:val="22"/>
        </w:rPr>
        <w:t xml:space="preserve"> SAC programming for Fall 2009 included a field trip to Bould</w:t>
      </w:r>
      <w:r w:rsidR="004A2414">
        <w:rPr>
          <w:rFonts w:ascii="Arial" w:hAnsi="Arial" w:cs="Arial"/>
          <w:sz w:val="22"/>
          <w:szCs w:val="22"/>
        </w:rPr>
        <w:t>er Hot Springs that targeted</w:t>
      </w:r>
      <w:r w:rsidRPr="00853E96">
        <w:rPr>
          <w:rFonts w:ascii="Arial" w:hAnsi="Arial" w:cs="Arial"/>
          <w:sz w:val="22"/>
          <w:szCs w:val="22"/>
        </w:rPr>
        <w:t xml:space="preserve"> Residence Life Students, an arts and </w:t>
      </w:r>
      <w:r w:rsidR="004A2414">
        <w:rPr>
          <w:rFonts w:ascii="Arial" w:hAnsi="Arial" w:cs="Arial"/>
          <w:sz w:val="22"/>
          <w:szCs w:val="22"/>
        </w:rPr>
        <w:t>crafts evening that targeted</w:t>
      </w:r>
      <w:r w:rsidRPr="00853E96">
        <w:rPr>
          <w:rFonts w:ascii="Arial" w:hAnsi="Arial" w:cs="Arial"/>
          <w:sz w:val="22"/>
          <w:szCs w:val="22"/>
        </w:rPr>
        <w:t xml:space="preserve"> non-traditional stude</w:t>
      </w:r>
      <w:r w:rsidR="003D436D">
        <w:rPr>
          <w:rFonts w:ascii="Arial" w:hAnsi="Arial" w:cs="Arial"/>
          <w:sz w:val="22"/>
          <w:szCs w:val="22"/>
        </w:rPr>
        <w:t>nts, and the annual Holiday Stroll.</w:t>
      </w:r>
      <w:r w:rsidRPr="00853E96">
        <w:rPr>
          <w:rFonts w:ascii="Arial" w:hAnsi="Arial" w:cs="Arial"/>
          <w:sz w:val="22"/>
          <w:szCs w:val="22"/>
        </w:rPr>
        <w:t xml:space="preserve"> </w:t>
      </w:r>
    </w:p>
    <w:p w:rsidR="00100102" w:rsidRPr="00853E96" w:rsidRDefault="00100102" w:rsidP="001B4D6A">
      <w:pPr>
        <w:rPr>
          <w:rFonts w:ascii="Arial" w:hAnsi="Arial" w:cs="Arial"/>
          <w:sz w:val="22"/>
          <w:szCs w:val="22"/>
        </w:rPr>
      </w:pPr>
    </w:p>
    <w:p w:rsidR="00100102" w:rsidRPr="00853E96" w:rsidRDefault="00100102" w:rsidP="001B4D6A">
      <w:pPr>
        <w:rPr>
          <w:rFonts w:ascii="Arial" w:hAnsi="Arial" w:cs="Arial"/>
          <w:sz w:val="22"/>
          <w:szCs w:val="22"/>
        </w:rPr>
      </w:pPr>
      <w:r w:rsidRPr="00853E96">
        <w:rPr>
          <w:rFonts w:ascii="Arial" w:hAnsi="Arial" w:cs="Arial"/>
          <w:sz w:val="22"/>
          <w:szCs w:val="22"/>
        </w:rPr>
        <w:t xml:space="preserve">SAC further oversees Spring Semester </w:t>
      </w:r>
      <w:r w:rsidR="00A43655">
        <w:rPr>
          <w:rFonts w:ascii="Arial" w:hAnsi="Arial" w:cs="Arial"/>
          <w:sz w:val="22"/>
          <w:szCs w:val="22"/>
        </w:rPr>
        <w:t>“</w:t>
      </w:r>
      <w:r w:rsidRPr="00853E96">
        <w:rPr>
          <w:rFonts w:ascii="Arial" w:hAnsi="Arial" w:cs="Arial"/>
          <w:sz w:val="22"/>
          <w:szCs w:val="22"/>
        </w:rPr>
        <w:t>M</w:t>
      </w:r>
      <w:r w:rsidR="00A43655">
        <w:rPr>
          <w:rFonts w:ascii="Arial" w:hAnsi="Arial" w:cs="Arial"/>
          <w:sz w:val="22"/>
          <w:szCs w:val="22"/>
        </w:rPr>
        <w:t>”</w:t>
      </w:r>
      <w:r w:rsidRPr="00853E96">
        <w:rPr>
          <w:rFonts w:ascii="Arial" w:hAnsi="Arial" w:cs="Arial"/>
          <w:sz w:val="22"/>
          <w:szCs w:val="22"/>
        </w:rPr>
        <w:t xml:space="preserve"> Day</w:t>
      </w:r>
      <w:r w:rsidR="00A43655">
        <w:rPr>
          <w:rFonts w:ascii="Arial" w:hAnsi="Arial" w:cs="Arial"/>
          <w:sz w:val="22"/>
          <w:szCs w:val="22"/>
        </w:rPr>
        <w:t>s. “M” Day</w:t>
      </w:r>
      <w:r w:rsidRPr="00853E96">
        <w:rPr>
          <w:rFonts w:ascii="Arial" w:hAnsi="Arial" w:cs="Arial"/>
          <w:sz w:val="22"/>
          <w:szCs w:val="22"/>
        </w:rPr>
        <w:t xml:space="preserve">s is a week-long event that </w:t>
      </w:r>
      <w:r w:rsidR="004A2414">
        <w:rPr>
          <w:rFonts w:ascii="Arial" w:hAnsi="Arial" w:cs="Arial"/>
          <w:sz w:val="22"/>
          <w:szCs w:val="22"/>
        </w:rPr>
        <w:t xml:space="preserve">first began in </w:t>
      </w:r>
      <w:r w:rsidRPr="00853E96">
        <w:rPr>
          <w:rFonts w:ascii="Arial" w:hAnsi="Arial" w:cs="Arial"/>
          <w:sz w:val="22"/>
          <w:szCs w:val="22"/>
        </w:rPr>
        <w:t>1958 when studen</w:t>
      </w:r>
      <w:r w:rsidR="004A2414">
        <w:rPr>
          <w:rFonts w:ascii="Arial" w:hAnsi="Arial" w:cs="Arial"/>
          <w:sz w:val="22"/>
          <w:szCs w:val="22"/>
        </w:rPr>
        <w:t>ts hiked to the hill north of the</w:t>
      </w:r>
      <w:r w:rsidRPr="00853E96">
        <w:rPr>
          <w:rFonts w:ascii="Arial" w:hAnsi="Arial" w:cs="Arial"/>
          <w:sz w:val="22"/>
          <w:szCs w:val="22"/>
        </w:rPr>
        <w:t xml:space="preserve"> campus (called the </w:t>
      </w:r>
      <w:r w:rsidR="004A2414">
        <w:rPr>
          <w:rFonts w:ascii="Arial" w:hAnsi="Arial" w:cs="Arial"/>
          <w:sz w:val="22"/>
          <w:szCs w:val="22"/>
        </w:rPr>
        <w:t>“</w:t>
      </w:r>
      <w:r w:rsidRPr="00853E96">
        <w:rPr>
          <w:rFonts w:ascii="Arial" w:hAnsi="Arial" w:cs="Arial"/>
          <w:sz w:val="22"/>
          <w:szCs w:val="22"/>
        </w:rPr>
        <w:t>M</w:t>
      </w:r>
      <w:r w:rsidR="004A2414">
        <w:rPr>
          <w:rFonts w:ascii="Arial" w:hAnsi="Arial" w:cs="Arial"/>
          <w:sz w:val="22"/>
          <w:szCs w:val="22"/>
        </w:rPr>
        <w:t>”</w:t>
      </w:r>
      <w:r w:rsidRPr="00853E96">
        <w:rPr>
          <w:rFonts w:ascii="Arial" w:hAnsi="Arial" w:cs="Arial"/>
          <w:sz w:val="22"/>
          <w:szCs w:val="22"/>
        </w:rPr>
        <w:t>) to clean the walking trail and white-wash the r</w:t>
      </w:r>
      <w:r w:rsidR="004A2414">
        <w:rPr>
          <w:rFonts w:ascii="Arial" w:hAnsi="Arial" w:cs="Arial"/>
          <w:sz w:val="22"/>
          <w:szCs w:val="22"/>
        </w:rPr>
        <w:t>ocks that formed</w:t>
      </w:r>
      <w:r w:rsidRPr="00853E96">
        <w:rPr>
          <w:rFonts w:ascii="Arial" w:hAnsi="Arial" w:cs="Arial"/>
          <w:sz w:val="22"/>
          <w:szCs w:val="22"/>
        </w:rPr>
        <w:t xml:space="preserve"> the letter M. In 1962, the M was wired for lights and today is still the only lighted </w:t>
      </w:r>
      <w:r w:rsidR="00EA2C56">
        <w:rPr>
          <w:rFonts w:ascii="Arial" w:hAnsi="Arial" w:cs="Arial"/>
          <w:sz w:val="22"/>
          <w:szCs w:val="22"/>
        </w:rPr>
        <w:t>collegiate letter</w:t>
      </w:r>
      <w:r w:rsidR="004A2414">
        <w:rPr>
          <w:rFonts w:ascii="Arial" w:hAnsi="Arial" w:cs="Arial"/>
          <w:sz w:val="22"/>
          <w:szCs w:val="22"/>
        </w:rPr>
        <w:t xml:space="preserve"> in the U.S.</w:t>
      </w:r>
      <w:r w:rsidR="004A2414" w:rsidRPr="00853E96">
        <w:rPr>
          <w:rFonts w:ascii="Arial" w:hAnsi="Arial" w:cs="Arial"/>
          <w:sz w:val="22"/>
          <w:szCs w:val="22"/>
        </w:rPr>
        <w:t xml:space="preserve"> </w:t>
      </w:r>
      <w:r w:rsidR="00FA7F73">
        <w:rPr>
          <w:rFonts w:ascii="Arial" w:hAnsi="Arial" w:cs="Arial"/>
          <w:sz w:val="22"/>
          <w:szCs w:val="22"/>
        </w:rPr>
        <w:t>The 2009 “M” Day e</w:t>
      </w:r>
      <w:r w:rsidRPr="00853E96">
        <w:rPr>
          <w:rFonts w:ascii="Arial" w:hAnsi="Arial" w:cs="Arial"/>
          <w:sz w:val="22"/>
          <w:szCs w:val="22"/>
        </w:rPr>
        <w:t>vents included a battle of the bands, country music in the mall, barbecues, a race to the “M</w:t>
      </w:r>
      <w:r w:rsidR="004A2414">
        <w:rPr>
          <w:rFonts w:ascii="Arial" w:hAnsi="Arial" w:cs="Arial"/>
          <w:sz w:val="22"/>
          <w:szCs w:val="22"/>
        </w:rPr>
        <w:t>,</w:t>
      </w:r>
      <w:r w:rsidRPr="00853E96">
        <w:rPr>
          <w:rFonts w:ascii="Arial" w:hAnsi="Arial" w:cs="Arial"/>
          <w:sz w:val="22"/>
          <w:szCs w:val="22"/>
        </w:rPr>
        <w:t>” the annual white-washing of the “M</w:t>
      </w:r>
      <w:r w:rsidR="004A2414">
        <w:rPr>
          <w:rFonts w:ascii="Arial" w:hAnsi="Arial" w:cs="Arial"/>
          <w:sz w:val="22"/>
          <w:szCs w:val="22"/>
        </w:rPr>
        <w:t xml:space="preserve">,” and </w:t>
      </w:r>
      <w:r w:rsidRPr="00853E96">
        <w:rPr>
          <w:rFonts w:ascii="Arial" w:hAnsi="Arial" w:cs="Arial"/>
          <w:sz w:val="22"/>
          <w:szCs w:val="22"/>
        </w:rPr>
        <w:t>cleaning the hiking trail.</w:t>
      </w:r>
    </w:p>
    <w:p w:rsidR="00100102" w:rsidRPr="00853E96" w:rsidRDefault="00100102" w:rsidP="001B4D6A">
      <w:pPr>
        <w:rPr>
          <w:rFonts w:ascii="Arial" w:hAnsi="Arial" w:cs="Arial"/>
          <w:sz w:val="22"/>
          <w:szCs w:val="22"/>
        </w:rPr>
      </w:pPr>
    </w:p>
    <w:p w:rsidR="00100102" w:rsidRPr="00853E96" w:rsidRDefault="00100102" w:rsidP="001B4D6A">
      <w:pPr>
        <w:rPr>
          <w:rFonts w:ascii="Arial" w:hAnsi="Arial" w:cs="Arial"/>
          <w:sz w:val="22"/>
          <w:szCs w:val="22"/>
        </w:rPr>
      </w:pPr>
      <w:r w:rsidRPr="00853E96">
        <w:rPr>
          <w:rFonts w:ascii="Arial" w:hAnsi="Arial" w:cs="Arial"/>
          <w:sz w:val="22"/>
          <w:szCs w:val="22"/>
        </w:rPr>
        <w:t>Club Rush, an annual semester event, is offered to entice students to join and formulate campus clubs and org</w:t>
      </w:r>
      <w:r w:rsidR="00463936">
        <w:rPr>
          <w:rFonts w:ascii="Arial" w:hAnsi="Arial" w:cs="Arial"/>
          <w:sz w:val="22"/>
          <w:szCs w:val="22"/>
        </w:rPr>
        <w:t>anizations.  Approximately 40</w:t>
      </w:r>
      <w:r w:rsidRPr="00853E96">
        <w:rPr>
          <w:rFonts w:ascii="Arial" w:hAnsi="Arial" w:cs="Arial"/>
          <w:sz w:val="22"/>
          <w:szCs w:val="22"/>
        </w:rPr>
        <w:t xml:space="preserve"> clubs are active and meet regularly. A number of clubs attend national conventions related to their degree area. Clubs help with campus and community events, such as the Circle K and student athletes’ annual involvement with the community-wide food drive. </w:t>
      </w:r>
    </w:p>
    <w:p w:rsidR="00100102" w:rsidRPr="00853E96" w:rsidRDefault="00100102" w:rsidP="001B4D6A">
      <w:pPr>
        <w:rPr>
          <w:rFonts w:ascii="Arial" w:hAnsi="Arial" w:cs="Arial"/>
          <w:sz w:val="22"/>
          <w:szCs w:val="22"/>
        </w:rPr>
      </w:pPr>
    </w:p>
    <w:p w:rsidR="00100102" w:rsidRPr="00076963" w:rsidRDefault="00A43655" w:rsidP="001B4D6A">
      <w:pPr>
        <w:rPr>
          <w:rFonts w:ascii="Arial" w:hAnsi="Arial" w:cs="Arial"/>
          <w:sz w:val="22"/>
          <w:szCs w:val="22"/>
        </w:rPr>
      </w:pPr>
      <w:r>
        <w:rPr>
          <w:rFonts w:ascii="Arial" w:hAnsi="Arial" w:cs="Arial"/>
          <w:sz w:val="22"/>
          <w:szCs w:val="22"/>
        </w:rPr>
        <w:t>ASMT</w:t>
      </w:r>
      <w:r w:rsidR="00100102" w:rsidRPr="00853E96">
        <w:rPr>
          <w:rFonts w:ascii="Arial" w:hAnsi="Arial" w:cs="Arial"/>
          <w:sz w:val="22"/>
          <w:szCs w:val="22"/>
        </w:rPr>
        <w:t xml:space="preserve"> identifies each club by requiring formalization</w:t>
      </w:r>
      <w:r>
        <w:rPr>
          <w:rFonts w:ascii="Arial" w:hAnsi="Arial" w:cs="Arial"/>
          <w:sz w:val="22"/>
          <w:szCs w:val="22"/>
        </w:rPr>
        <w:t xml:space="preserve"> of officers, presidents, vice-</w:t>
      </w:r>
      <w:r w:rsidR="00100102" w:rsidRPr="00853E96">
        <w:rPr>
          <w:rFonts w:ascii="Arial" w:hAnsi="Arial" w:cs="Arial"/>
          <w:sz w:val="22"/>
          <w:szCs w:val="22"/>
        </w:rPr>
        <w:t>presidents, treasurers</w:t>
      </w:r>
      <w:r w:rsidR="00463936">
        <w:rPr>
          <w:rFonts w:ascii="Arial" w:hAnsi="Arial" w:cs="Arial"/>
          <w:sz w:val="22"/>
          <w:szCs w:val="22"/>
        </w:rPr>
        <w:t>, and advisors. ASMT oversees</w:t>
      </w:r>
      <w:r w:rsidR="00100102" w:rsidRPr="00853E96">
        <w:rPr>
          <w:rFonts w:ascii="Arial" w:hAnsi="Arial" w:cs="Arial"/>
          <w:sz w:val="22"/>
          <w:szCs w:val="22"/>
        </w:rPr>
        <w:t xml:space="preserve"> development of the c</w:t>
      </w:r>
      <w:r w:rsidR="00463936">
        <w:rPr>
          <w:rFonts w:ascii="Arial" w:hAnsi="Arial" w:cs="Arial"/>
          <w:sz w:val="22"/>
          <w:szCs w:val="22"/>
        </w:rPr>
        <w:t>lub/organization’s constitution and assigns</w:t>
      </w:r>
      <w:r w:rsidR="00100102" w:rsidRPr="00853E96">
        <w:rPr>
          <w:rFonts w:ascii="Arial" w:hAnsi="Arial" w:cs="Arial"/>
          <w:sz w:val="22"/>
          <w:szCs w:val="22"/>
        </w:rPr>
        <w:t xml:space="preserve"> faculty/staff </w:t>
      </w:r>
      <w:r w:rsidR="00463936">
        <w:rPr>
          <w:rFonts w:ascii="Arial" w:hAnsi="Arial" w:cs="Arial"/>
          <w:sz w:val="22"/>
          <w:szCs w:val="22"/>
        </w:rPr>
        <w:t>as</w:t>
      </w:r>
      <w:r w:rsidR="00100102" w:rsidRPr="00853E96">
        <w:rPr>
          <w:rFonts w:ascii="Arial" w:hAnsi="Arial" w:cs="Arial"/>
          <w:sz w:val="22"/>
          <w:szCs w:val="22"/>
        </w:rPr>
        <w:t xml:space="preserve"> advisors and mentors. In turn, the club/organization is granted rights and privileges that include: petitioning for funds from ASMT, access to college</w:t>
      </w:r>
      <w:r w:rsidR="00100102" w:rsidRPr="00853E96">
        <w:rPr>
          <w:rFonts w:ascii="Tunga" w:hAnsi="Tunga" w:cs="Tunga"/>
          <w:sz w:val="22"/>
          <w:szCs w:val="22"/>
        </w:rPr>
        <w:t xml:space="preserve"> facilities, use of audio/visual equipment, on-campus fund raising, and purchase order </w:t>
      </w:r>
      <w:r w:rsidR="00100102" w:rsidRPr="00076963">
        <w:rPr>
          <w:rFonts w:ascii="Tunga" w:hAnsi="Tunga" w:cs="Tunga"/>
          <w:sz w:val="22"/>
          <w:szCs w:val="22"/>
        </w:rPr>
        <w:t xml:space="preserve">privileges. </w:t>
      </w:r>
      <w:r w:rsidR="00100102" w:rsidRPr="00076963">
        <w:rPr>
          <w:rFonts w:ascii="Arial" w:hAnsi="Arial" w:cs="Arial"/>
          <w:sz w:val="22"/>
          <w:szCs w:val="22"/>
        </w:rPr>
        <w:t>(</w:t>
      </w:r>
      <w:r w:rsidR="00FA7F73">
        <w:rPr>
          <w:rFonts w:ascii="Arial" w:hAnsi="Arial" w:cs="Arial"/>
          <w:sz w:val="22"/>
          <w:szCs w:val="22"/>
        </w:rPr>
        <w:t>S</w:t>
      </w:r>
      <w:r w:rsidR="00463936" w:rsidRPr="00076963">
        <w:rPr>
          <w:rFonts w:ascii="Arial" w:hAnsi="Arial" w:cs="Arial"/>
          <w:sz w:val="22"/>
          <w:szCs w:val="22"/>
        </w:rPr>
        <w:t xml:space="preserve">ee </w:t>
      </w:r>
      <w:r w:rsidR="00076963" w:rsidRPr="00076963">
        <w:rPr>
          <w:rFonts w:ascii="Arial" w:hAnsi="Arial" w:cs="Arial"/>
          <w:sz w:val="22"/>
          <w:szCs w:val="22"/>
        </w:rPr>
        <w:t>Exhibit 3.D.</w:t>
      </w:r>
      <w:r w:rsidR="00076963">
        <w:rPr>
          <w:rFonts w:ascii="Arial" w:hAnsi="Arial" w:cs="Arial"/>
          <w:sz w:val="22"/>
          <w:szCs w:val="22"/>
        </w:rPr>
        <w:t>X</w:t>
      </w:r>
      <w:r w:rsidR="004921EE">
        <w:rPr>
          <w:rFonts w:ascii="Arial" w:hAnsi="Arial" w:cs="Arial"/>
          <w:sz w:val="22"/>
          <w:szCs w:val="22"/>
        </w:rPr>
        <w:t>I</w:t>
      </w:r>
      <w:r w:rsidR="00076963">
        <w:rPr>
          <w:rFonts w:ascii="Arial" w:hAnsi="Arial" w:cs="Arial"/>
          <w:sz w:val="22"/>
          <w:szCs w:val="22"/>
        </w:rPr>
        <w:t>:</w:t>
      </w:r>
      <w:r w:rsidR="00100102" w:rsidRPr="00076963">
        <w:rPr>
          <w:rFonts w:ascii="Arial" w:hAnsi="Arial" w:cs="Arial"/>
          <w:sz w:val="22"/>
          <w:szCs w:val="22"/>
        </w:rPr>
        <w:t xml:space="preserve"> </w:t>
      </w:r>
      <w:hyperlink r:id="rId73" w:history="1">
        <w:r w:rsidR="00100102" w:rsidRPr="00D83DAB">
          <w:rPr>
            <w:rStyle w:val="Hyperlink"/>
            <w:rFonts w:ascii="Arial" w:hAnsi="Arial" w:cs="Arial"/>
            <w:i/>
            <w:sz w:val="22"/>
            <w:szCs w:val="22"/>
          </w:rPr>
          <w:t>2009/2010 Clubs</w:t>
        </w:r>
      </w:hyperlink>
      <w:r w:rsidR="00463936" w:rsidRPr="00D83DAB">
        <w:rPr>
          <w:rFonts w:ascii="Arial" w:hAnsi="Arial" w:cs="Arial"/>
          <w:i/>
          <w:sz w:val="22"/>
          <w:szCs w:val="22"/>
          <w:u w:val="single"/>
        </w:rPr>
        <w:t>.</w:t>
      </w:r>
      <w:r w:rsidR="00100102" w:rsidRPr="00D83DAB">
        <w:rPr>
          <w:rFonts w:ascii="Arial" w:hAnsi="Arial" w:cs="Arial"/>
          <w:sz w:val="22"/>
          <w:szCs w:val="22"/>
        </w:rPr>
        <w:t>)</w:t>
      </w:r>
    </w:p>
    <w:p w:rsidR="00100102" w:rsidRPr="00076963" w:rsidRDefault="00100102" w:rsidP="001B4D6A">
      <w:pPr>
        <w:rPr>
          <w:rFonts w:ascii="Arial" w:hAnsi="Arial" w:cs="Arial"/>
          <w:sz w:val="22"/>
          <w:szCs w:val="22"/>
          <w:lang w:eastAsia="en-US"/>
        </w:rPr>
      </w:pPr>
    </w:p>
    <w:p w:rsidR="00E3697E" w:rsidRPr="00853E96" w:rsidRDefault="00E3697E" w:rsidP="001B4D6A">
      <w:pPr>
        <w:rPr>
          <w:rFonts w:ascii="Arial" w:hAnsi="Arial" w:cs="Arial"/>
          <w:sz w:val="22"/>
          <w:szCs w:val="22"/>
        </w:rPr>
      </w:pPr>
      <w:r w:rsidRPr="00853E96">
        <w:rPr>
          <w:rFonts w:ascii="Arial" w:hAnsi="Arial" w:cs="Arial"/>
          <w:sz w:val="22"/>
          <w:szCs w:val="22"/>
        </w:rPr>
        <w:t>The COT Stu</w:t>
      </w:r>
      <w:r w:rsidR="00A43655">
        <w:rPr>
          <w:rFonts w:ascii="Arial" w:hAnsi="Arial" w:cs="Arial"/>
          <w:sz w:val="22"/>
          <w:szCs w:val="22"/>
        </w:rPr>
        <w:t>dent Leadership established in F</w:t>
      </w:r>
      <w:r w:rsidR="003E1973">
        <w:rPr>
          <w:rFonts w:ascii="Arial" w:hAnsi="Arial" w:cs="Arial"/>
          <w:sz w:val="22"/>
          <w:szCs w:val="22"/>
        </w:rPr>
        <w:t>all 2008</w:t>
      </w:r>
      <w:r w:rsidRPr="00853E96">
        <w:rPr>
          <w:rFonts w:ascii="Arial" w:hAnsi="Arial" w:cs="Arial"/>
          <w:sz w:val="22"/>
          <w:szCs w:val="22"/>
        </w:rPr>
        <w:t xml:space="preserve"> promote</w:t>
      </w:r>
      <w:r w:rsidR="003E1973">
        <w:rPr>
          <w:rFonts w:ascii="Arial" w:hAnsi="Arial" w:cs="Arial"/>
          <w:sz w:val="22"/>
          <w:szCs w:val="22"/>
        </w:rPr>
        <w:t>s</w:t>
      </w:r>
      <w:r w:rsidRPr="00853E96">
        <w:rPr>
          <w:rFonts w:ascii="Arial" w:hAnsi="Arial" w:cs="Arial"/>
          <w:sz w:val="22"/>
          <w:szCs w:val="22"/>
        </w:rPr>
        <w:t xml:space="preserve"> a sense of community wi</w:t>
      </w:r>
      <w:r w:rsidR="00FA7F73">
        <w:rPr>
          <w:rFonts w:ascii="Arial" w:hAnsi="Arial" w:cs="Arial"/>
          <w:sz w:val="22"/>
          <w:szCs w:val="22"/>
        </w:rPr>
        <w:t>thin the College of Technology c</w:t>
      </w:r>
      <w:r w:rsidRPr="00853E96">
        <w:rPr>
          <w:rFonts w:ascii="Arial" w:hAnsi="Arial" w:cs="Arial"/>
          <w:sz w:val="22"/>
          <w:szCs w:val="22"/>
        </w:rPr>
        <w:t>ampus, to enhance a sense of belon</w:t>
      </w:r>
      <w:r w:rsidR="00463936">
        <w:rPr>
          <w:rFonts w:ascii="Arial" w:hAnsi="Arial" w:cs="Arial"/>
          <w:sz w:val="22"/>
          <w:szCs w:val="22"/>
        </w:rPr>
        <w:t>ging with Montana Tech at large</w:t>
      </w:r>
      <w:r w:rsidRPr="00853E96">
        <w:rPr>
          <w:rFonts w:ascii="Arial" w:hAnsi="Arial" w:cs="Arial"/>
          <w:sz w:val="22"/>
          <w:szCs w:val="22"/>
        </w:rPr>
        <w:t xml:space="preserve"> and to pro</w:t>
      </w:r>
      <w:r w:rsidR="00A43655">
        <w:rPr>
          <w:rFonts w:ascii="Arial" w:hAnsi="Arial" w:cs="Arial"/>
          <w:sz w:val="22"/>
          <w:szCs w:val="22"/>
        </w:rPr>
        <w:t>vide service to the Butte c</w:t>
      </w:r>
      <w:r w:rsidRPr="00853E96">
        <w:rPr>
          <w:rFonts w:ascii="Arial" w:hAnsi="Arial" w:cs="Arial"/>
          <w:sz w:val="22"/>
          <w:szCs w:val="22"/>
        </w:rPr>
        <w:t xml:space="preserve">ommunity. This is done through </w:t>
      </w:r>
      <w:r w:rsidR="00463936">
        <w:rPr>
          <w:rFonts w:ascii="Arial" w:hAnsi="Arial" w:cs="Arial"/>
          <w:sz w:val="22"/>
          <w:szCs w:val="22"/>
        </w:rPr>
        <w:t>the kind of activities and events which</w:t>
      </w:r>
      <w:r w:rsidRPr="00853E96">
        <w:rPr>
          <w:rFonts w:ascii="Arial" w:hAnsi="Arial" w:cs="Arial"/>
          <w:sz w:val="22"/>
          <w:szCs w:val="22"/>
        </w:rPr>
        <w:t xml:space="preserve"> offer fun </w:t>
      </w:r>
      <w:r w:rsidR="00463936">
        <w:rPr>
          <w:rFonts w:ascii="Arial" w:hAnsi="Arial" w:cs="Arial"/>
          <w:sz w:val="22"/>
          <w:szCs w:val="22"/>
        </w:rPr>
        <w:t xml:space="preserve">and through the kind of </w:t>
      </w:r>
      <w:r w:rsidRPr="00853E96">
        <w:rPr>
          <w:rFonts w:ascii="Arial" w:hAnsi="Arial" w:cs="Arial"/>
          <w:sz w:val="22"/>
          <w:szCs w:val="22"/>
        </w:rPr>
        <w:t xml:space="preserve">educational components which </w:t>
      </w:r>
      <w:r w:rsidR="00463936">
        <w:rPr>
          <w:rFonts w:ascii="Arial" w:hAnsi="Arial" w:cs="Arial"/>
          <w:sz w:val="22"/>
          <w:szCs w:val="22"/>
        </w:rPr>
        <w:t>enrich the college experience for</w:t>
      </w:r>
      <w:r w:rsidRPr="00853E96">
        <w:rPr>
          <w:rFonts w:ascii="Arial" w:hAnsi="Arial" w:cs="Arial"/>
          <w:sz w:val="22"/>
          <w:szCs w:val="22"/>
        </w:rPr>
        <w:t xml:space="preserve"> students.  Activities include but are not limited to the Welcome Back Lunch, Homecoming participation, COT Halloween Open House, Thanksgiving Lunch with educational theme, collections for food baskets, Easter event, and Graduation celebration/lunch.  The Montana Tech Counselor acts as advisor with the support of the Dean and COT administrative staff. </w:t>
      </w:r>
    </w:p>
    <w:p w:rsidR="00E3697E" w:rsidRDefault="00E3697E" w:rsidP="001B4D6A">
      <w:pPr>
        <w:rPr>
          <w:rFonts w:ascii="Arial" w:hAnsi="Arial" w:cs="Arial"/>
          <w:sz w:val="22"/>
          <w:szCs w:val="22"/>
          <w:highlight w:val="yellow"/>
          <w:lang w:eastAsia="en-US"/>
        </w:rPr>
      </w:pPr>
    </w:p>
    <w:p w:rsidR="00CB2DD3" w:rsidRPr="00AB1C7D" w:rsidRDefault="009A392B" w:rsidP="001B4D6A">
      <w:pPr>
        <w:rPr>
          <w:rFonts w:ascii="Arial" w:hAnsi="Arial" w:cs="Arial"/>
          <w:b/>
          <w:sz w:val="22"/>
          <w:szCs w:val="22"/>
        </w:rPr>
      </w:pPr>
      <w:r w:rsidRPr="00AB1C7D">
        <w:rPr>
          <w:rFonts w:ascii="Arial" w:hAnsi="Arial" w:cs="Arial"/>
          <w:b/>
          <w:sz w:val="22"/>
          <w:szCs w:val="22"/>
        </w:rPr>
        <w:t>3.D.16</w:t>
      </w:r>
      <w:r w:rsidRPr="00AB1C7D">
        <w:rPr>
          <w:rFonts w:ascii="Arial" w:hAnsi="Arial" w:cs="Arial"/>
          <w:b/>
          <w:sz w:val="22"/>
          <w:szCs w:val="22"/>
        </w:rPr>
        <w:tab/>
      </w:r>
      <w:r w:rsidR="00CB2DD3" w:rsidRPr="00AB1C7D">
        <w:rPr>
          <w:rFonts w:ascii="Arial" w:hAnsi="Arial" w:cs="Arial"/>
          <w:b/>
          <w:sz w:val="22"/>
          <w:szCs w:val="22"/>
        </w:rPr>
        <w:t>The co-curricular program includes policies and procedures that determine the relationship of the institution with its student activities; identifying the needs, evaluating the effectiveness, and providing appropriate governance of the program are joint responsibilities of students and the institution.</w:t>
      </w:r>
    </w:p>
    <w:p w:rsidR="002B61E1" w:rsidRPr="00AB1C7D" w:rsidRDefault="00212730" w:rsidP="001B4D6A">
      <w:r w:rsidRPr="00AB1C7D">
        <w:rPr>
          <w:rFonts w:ascii="Arial" w:hAnsi="Arial" w:cs="Arial"/>
          <w:b/>
          <w:sz w:val="22"/>
          <w:szCs w:val="22"/>
        </w:rPr>
        <w:t xml:space="preserve"> </w:t>
      </w:r>
    </w:p>
    <w:p w:rsidR="00382733" w:rsidRPr="00853E96" w:rsidRDefault="00382733" w:rsidP="001B4D6A">
      <w:pPr>
        <w:rPr>
          <w:rFonts w:ascii="Arial" w:hAnsi="Arial" w:cs="Arial"/>
          <w:sz w:val="22"/>
          <w:szCs w:val="22"/>
        </w:rPr>
      </w:pPr>
      <w:r w:rsidRPr="00853E96">
        <w:rPr>
          <w:rFonts w:ascii="Arial" w:hAnsi="Arial" w:cs="Arial"/>
          <w:sz w:val="22"/>
          <w:szCs w:val="22"/>
        </w:rPr>
        <w:lastRenderedPageBreak/>
        <w:t xml:space="preserve">All student organizations and clubs </w:t>
      </w:r>
      <w:r w:rsidR="00867A79" w:rsidRPr="00853E96">
        <w:rPr>
          <w:rFonts w:ascii="Arial" w:hAnsi="Arial" w:cs="Arial"/>
          <w:sz w:val="22"/>
          <w:szCs w:val="22"/>
        </w:rPr>
        <w:t xml:space="preserve">must submit a completed </w:t>
      </w:r>
      <w:r w:rsidR="004B4CFE" w:rsidRPr="00853E96">
        <w:rPr>
          <w:rFonts w:ascii="Arial" w:hAnsi="Arial" w:cs="Arial"/>
          <w:sz w:val="22"/>
          <w:szCs w:val="22"/>
        </w:rPr>
        <w:t xml:space="preserve">Student Organization Application </w:t>
      </w:r>
      <w:r w:rsidR="00867A79" w:rsidRPr="00076963">
        <w:rPr>
          <w:rFonts w:ascii="Arial" w:hAnsi="Arial" w:cs="Arial"/>
          <w:sz w:val="22"/>
          <w:szCs w:val="22"/>
        </w:rPr>
        <w:t xml:space="preserve">form that includes appropriate </w:t>
      </w:r>
      <w:r w:rsidR="004B4CFE" w:rsidRPr="00076963">
        <w:rPr>
          <w:rFonts w:ascii="Arial" w:hAnsi="Arial" w:cs="Arial"/>
          <w:sz w:val="22"/>
          <w:szCs w:val="22"/>
        </w:rPr>
        <w:t>club officers/</w:t>
      </w:r>
      <w:r w:rsidR="00867A79" w:rsidRPr="00076963">
        <w:rPr>
          <w:rFonts w:ascii="Arial" w:hAnsi="Arial" w:cs="Arial"/>
          <w:sz w:val="22"/>
          <w:szCs w:val="22"/>
        </w:rPr>
        <w:t>advisor signatures,</w:t>
      </w:r>
      <w:r w:rsidR="004B4CFE" w:rsidRPr="00076963">
        <w:rPr>
          <w:rFonts w:ascii="Arial" w:hAnsi="Arial" w:cs="Arial"/>
          <w:sz w:val="22"/>
          <w:szCs w:val="22"/>
        </w:rPr>
        <w:t xml:space="preserve"> and a developed </w:t>
      </w:r>
      <w:r w:rsidR="00867A79" w:rsidRPr="00076963">
        <w:rPr>
          <w:rFonts w:ascii="Arial" w:hAnsi="Arial" w:cs="Arial"/>
          <w:sz w:val="22"/>
          <w:szCs w:val="22"/>
        </w:rPr>
        <w:t>constitution</w:t>
      </w:r>
      <w:r w:rsidR="004B4CFE" w:rsidRPr="00076963">
        <w:rPr>
          <w:rFonts w:ascii="Arial" w:hAnsi="Arial" w:cs="Arial"/>
          <w:sz w:val="22"/>
          <w:szCs w:val="22"/>
        </w:rPr>
        <w:t xml:space="preserve">.  </w:t>
      </w:r>
      <w:r w:rsidR="003D7C01" w:rsidRPr="00076963">
        <w:rPr>
          <w:rFonts w:ascii="Arial" w:hAnsi="Arial" w:cs="Arial"/>
          <w:sz w:val="22"/>
          <w:szCs w:val="22"/>
        </w:rPr>
        <w:t>(</w:t>
      </w:r>
      <w:r w:rsidR="00FA7F73">
        <w:rPr>
          <w:rFonts w:ascii="Arial" w:hAnsi="Arial" w:cs="Arial"/>
          <w:sz w:val="22"/>
          <w:szCs w:val="22"/>
        </w:rPr>
        <w:t>S</w:t>
      </w:r>
      <w:r w:rsidR="00463936" w:rsidRPr="00076963">
        <w:rPr>
          <w:rFonts w:ascii="Arial" w:hAnsi="Arial" w:cs="Arial"/>
          <w:sz w:val="22"/>
          <w:szCs w:val="22"/>
        </w:rPr>
        <w:t xml:space="preserve">ee </w:t>
      </w:r>
      <w:r w:rsidR="00076963" w:rsidRPr="00076963">
        <w:rPr>
          <w:rFonts w:ascii="Arial" w:hAnsi="Arial" w:cs="Arial"/>
          <w:sz w:val="22"/>
          <w:szCs w:val="22"/>
        </w:rPr>
        <w:t>Exhibit 3.D.X</w:t>
      </w:r>
      <w:r w:rsidR="004921EE">
        <w:rPr>
          <w:rFonts w:ascii="Arial" w:hAnsi="Arial" w:cs="Arial"/>
          <w:sz w:val="22"/>
          <w:szCs w:val="22"/>
        </w:rPr>
        <w:t>I</w:t>
      </w:r>
      <w:r w:rsidR="00076963" w:rsidRPr="00076963">
        <w:rPr>
          <w:rFonts w:ascii="Arial" w:hAnsi="Arial" w:cs="Arial"/>
          <w:sz w:val="22"/>
          <w:szCs w:val="22"/>
        </w:rPr>
        <w:t>:</w:t>
      </w:r>
      <w:r w:rsidR="003D7C01" w:rsidRPr="00076963">
        <w:rPr>
          <w:rFonts w:ascii="Arial" w:hAnsi="Arial" w:cs="Arial"/>
          <w:sz w:val="22"/>
          <w:szCs w:val="22"/>
        </w:rPr>
        <w:t xml:space="preserve"> </w:t>
      </w:r>
      <w:hyperlink r:id="rId74" w:history="1">
        <w:r w:rsidR="003D7C01" w:rsidRPr="00E846BE">
          <w:rPr>
            <w:rStyle w:val="Hyperlink"/>
            <w:rFonts w:ascii="Arial" w:hAnsi="Arial" w:cs="Arial"/>
            <w:i/>
            <w:sz w:val="22"/>
            <w:szCs w:val="22"/>
          </w:rPr>
          <w:t>Student Organization Application</w:t>
        </w:r>
      </w:hyperlink>
      <w:r w:rsidR="00463936" w:rsidRPr="00076963">
        <w:rPr>
          <w:rFonts w:ascii="Arial" w:hAnsi="Arial" w:cs="Arial"/>
          <w:sz w:val="22"/>
          <w:szCs w:val="22"/>
        </w:rPr>
        <w:t>.</w:t>
      </w:r>
      <w:r w:rsidR="003D7C01" w:rsidRPr="00076963">
        <w:rPr>
          <w:rFonts w:ascii="Arial" w:hAnsi="Arial" w:cs="Arial"/>
          <w:sz w:val="22"/>
          <w:szCs w:val="22"/>
        </w:rPr>
        <w:t>)</w:t>
      </w:r>
      <w:r w:rsidR="00111977" w:rsidRPr="00076963">
        <w:rPr>
          <w:rFonts w:ascii="Arial" w:hAnsi="Arial" w:cs="Arial"/>
          <w:sz w:val="22"/>
          <w:szCs w:val="22"/>
        </w:rPr>
        <w:t xml:space="preserve"> </w:t>
      </w:r>
      <w:r w:rsidR="004B4CFE" w:rsidRPr="00076963">
        <w:rPr>
          <w:rFonts w:ascii="Arial" w:hAnsi="Arial" w:cs="Arial"/>
          <w:sz w:val="22"/>
          <w:szCs w:val="22"/>
        </w:rPr>
        <w:t>The</w:t>
      </w:r>
      <w:r w:rsidR="004B4CFE" w:rsidRPr="00853E96">
        <w:rPr>
          <w:rFonts w:ascii="Arial" w:hAnsi="Arial" w:cs="Arial"/>
          <w:sz w:val="22"/>
          <w:szCs w:val="22"/>
        </w:rPr>
        <w:t xml:space="preserve"> organization must</w:t>
      </w:r>
      <w:r w:rsidR="003D7C01" w:rsidRPr="00853E96">
        <w:rPr>
          <w:rFonts w:ascii="Arial" w:hAnsi="Arial" w:cs="Arial"/>
          <w:sz w:val="22"/>
          <w:szCs w:val="22"/>
        </w:rPr>
        <w:t xml:space="preserve"> affirm compliance with Montana Tech’s commitment to and practice of non-discrimination with regard to race, creed, color, sex, </w:t>
      </w:r>
      <w:r w:rsidR="00463936">
        <w:rPr>
          <w:rFonts w:ascii="Arial" w:hAnsi="Arial" w:cs="Arial"/>
          <w:sz w:val="22"/>
          <w:szCs w:val="22"/>
        </w:rPr>
        <w:t xml:space="preserve">to </w:t>
      </w:r>
      <w:r w:rsidR="003D7C01" w:rsidRPr="00853E96">
        <w:rPr>
          <w:rFonts w:ascii="Arial" w:hAnsi="Arial" w:cs="Arial"/>
          <w:sz w:val="22"/>
          <w:szCs w:val="22"/>
        </w:rPr>
        <w:t>natural origin, age, handicap</w:t>
      </w:r>
      <w:r w:rsidR="00463936">
        <w:rPr>
          <w:rFonts w:ascii="Arial" w:hAnsi="Arial" w:cs="Arial"/>
          <w:sz w:val="22"/>
          <w:szCs w:val="22"/>
        </w:rPr>
        <w:t>,</w:t>
      </w:r>
      <w:r w:rsidR="003D7C01" w:rsidRPr="00853E96">
        <w:rPr>
          <w:rFonts w:ascii="Arial" w:hAnsi="Arial" w:cs="Arial"/>
          <w:sz w:val="22"/>
          <w:szCs w:val="22"/>
        </w:rPr>
        <w:t xml:space="preserve"> and </w:t>
      </w:r>
      <w:r w:rsidR="00463936">
        <w:rPr>
          <w:rFonts w:ascii="Arial" w:hAnsi="Arial" w:cs="Arial"/>
          <w:sz w:val="22"/>
          <w:szCs w:val="22"/>
        </w:rPr>
        <w:t xml:space="preserve">to </w:t>
      </w:r>
      <w:r w:rsidR="003D7C01" w:rsidRPr="00853E96">
        <w:rPr>
          <w:rFonts w:ascii="Arial" w:hAnsi="Arial" w:cs="Arial"/>
          <w:sz w:val="22"/>
          <w:szCs w:val="22"/>
        </w:rPr>
        <w:t>marital status.  The organization’</w:t>
      </w:r>
      <w:r w:rsidR="00111977" w:rsidRPr="00853E96">
        <w:rPr>
          <w:rFonts w:ascii="Arial" w:hAnsi="Arial" w:cs="Arial"/>
          <w:sz w:val="22"/>
          <w:szCs w:val="22"/>
        </w:rPr>
        <w:t>s</w:t>
      </w:r>
      <w:r w:rsidR="003D7C01" w:rsidRPr="00853E96">
        <w:rPr>
          <w:rFonts w:ascii="Arial" w:hAnsi="Arial" w:cs="Arial"/>
          <w:sz w:val="22"/>
          <w:szCs w:val="22"/>
        </w:rPr>
        <w:t xml:space="preserve"> officers and members must read, understand</w:t>
      </w:r>
      <w:r w:rsidR="00463936">
        <w:rPr>
          <w:rFonts w:ascii="Arial" w:hAnsi="Arial" w:cs="Arial"/>
          <w:sz w:val="22"/>
          <w:szCs w:val="22"/>
        </w:rPr>
        <w:t>,</w:t>
      </w:r>
      <w:r w:rsidR="003D7C01" w:rsidRPr="00853E96">
        <w:rPr>
          <w:rFonts w:ascii="Arial" w:hAnsi="Arial" w:cs="Arial"/>
          <w:sz w:val="22"/>
          <w:szCs w:val="22"/>
        </w:rPr>
        <w:t xml:space="preserve"> and abide by Montana Tech’s Alcohol Policy.</w:t>
      </w:r>
      <w:r w:rsidR="00867A79" w:rsidRPr="00853E96">
        <w:rPr>
          <w:rFonts w:ascii="Arial" w:hAnsi="Arial" w:cs="Arial"/>
          <w:sz w:val="22"/>
          <w:szCs w:val="22"/>
        </w:rPr>
        <w:t xml:space="preserve"> The Student Union Director conducts a</w:t>
      </w:r>
      <w:r w:rsidR="003D7C01" w:rsidRPr="00853E96">
        <w:rPr>
          <w:rFonts w:ascii="Arial" w:hAnsi="Arial" w:cs="Arial"/>
          <w:sz w:val="22"/>
          <w:szCs w:val="22"/>
        </w:rPr>
        <w:t>nnual</w:t>
      </w:r>
      <w:r w:rsidR="00867A79" w:rsidRPr="00853E96">
        <w:rPr>
          <w:rFonts w:ascii="Arial" w:hAnsi="Arial" w:cs="Arial"/>
          <w:sz w:val="22"/>
          <w:szCs w:val="22"/>
        </w:rPr>
        <w:t xml:space="preserve"> training for all clubs and adv</w:t>
      </w:r>
      <w:r w:rsidR="00A43655">
        <w:rPr>
          <w:rFonts w:ascii="Arial" w:hAnsi="Arial" w:cs="Arial"/>
          <w:sz w:val="22"/>
          <w:szCs w:val="22"/>
        </w:rPr>
        <w:t xml:space="preserve">isors at the beginning of </w:t>
      </w:r>
      <w:r w:rsidR="00463936">
        <w:rPr>
          <w:rFonts w:ascii="Arial" w:hAnsi="Arial" w:cs="Arial"/>
          <w:sz w:val="22"/>
          <w:szCs w:val="22"/>
        </w:rPr>
        <w:t>the Fall S</w:t>
      </w:r>
      <w:r w:rsidR="00867A79" w:rsidRPr="00853E96">
        <w:rPr>
          <w:rFonts w:ascii="Arial" w:hAnsi="Arial" w:cs="Arial"/>
          <w:sz w:val="22"/>
          <w:szCs w:val="22"/>
        </w:rPr>
        <w:t xml:space="preserve">emester. </w:t>
      </w:r>
    </w:p>
    <w:p w:rsidR="00A3283A" w:rsidRDefault="00A3283A" w:rsidP="001B4D6A">
      <w:pPr>
        <w:rPr>
          <w:rFonts w:ascii="Arial" w:hAnsi="Arial" w:cs="Arial"/>
          <w:b/>
          <w:sz w:val="22"/>
          <w:szCs w:val="22"/>
        </w:rPr>
      </w:pPr>
    </w:p>
    <w:p w:rsidR="00CB2DD3" w:rsidRDefault="009A392B" w:rsidP="001B4D6A">
      <w:pPr>
        <w:rPr>
          <w:rFonts w:ascii="Arial" w:hAnsi="Arial" w:cs="Arial"/>
          <w:b/>
          <w:sz w:val="22"/>
          <w:szCs w:val="22"/>
        </w:rPr>
      </w:pPr>
      <w:r w:rsidRPr="00AB1C7D">
        <w:rPr>
          <w:rFonts w:ascii="Arial" w:hAnsi="Arial" w:cs="Arial"/>
          <w:b/>
          <w:sz w:val="22"/>
          <w:szCs w:val="22"/>
        </w:rPr>
        <w:t>3.D.17</w:t>
      </w:r>
      <w:r w:rsidRPr="00AB1C7D">
        <w:rPr>
          <w:rFonts w:ascii="Arial" w:hAnsi="Arial" w:cs="Arial"/>
          <w:b/>
          <w:sz w:val="22"/>
          <w:szCs w:val="22"/>
        </w:rPr>
        <w:tab/>
        <w:t>I</w:t>
      </w:r>
      <w:r w:rsidR="00CB2DD3" w:rsidRPr="00AB1C7D">
        <w:rPr>
          <w:rFonts w:ascii="Arial" w:hAnsi="Arial" w:cs="Arial"/>
          <w:b/>
          <w:sz w:val="22"/>
          <w:szCs w:val="22"/>
        </w:rPr>
        <w:t>f appropriate to its mission and goals, the institution provides adequate opportunities and facilities for student recreational and athletic needs apart from intercollegiate athletics.</w:t>
      </w:r>
    </w:p>
    <w:p w:rsidR="00DD3404" w:rsidRDefault="00DD3404" w:rsidP="001B4D6A">
      <w:pPr>
        <w:rPr>
          <w:rFonts w:ascii="Arial" w:hAnsi="Arial" w:cs="Arial"/>
          <w:sz w:val="22"/>
        </w:rPr>
      </w:pPr>
    </w:p>
    <w:p w:rsidR="00A05133" w:rsidRPr="00AB1C7D" w:rsidRDefault="00A05133" w:rsidP="001B4D6A">
      <w:pPr>
        <w:rPr>
          <w:rFonts w:ascii="Arial" w:hAnsi="Arial" w:cs="Arial"/>
          <w:sz w:val="22"/>
          <w:szCs w:val="22"/>
        </w:rPr>
      </w:pPr>
      <w:r w:rsidRPr="00AB1C7D">
        <w:rPr>
          <w:rFonts w:ascii="Arial" w:hAnsi="Arial" w:cs="Arial"/>
          <w:sz w:val="22"/>
        </w:rPr>
        <w:t xml:space="preserve">Montana Tech’s Campus Recreation program is headed by the </w:t>
      </w:r>
      <w:r w:rsidR="00DD3404">
        <w:rPr>
          <w:rFonts w:ascii="Arial" w:hAnsi="Arial" w:cs="Arial"/>
          <w:sz w:val="22"/>
        </w:rPr>
        <w:t>Director of Campus Recreation who is also the HPER Supervisor.</w:t>
      </w:r>
      <w:r w:rsidRPr="00AB1C7D">
        <w:rPr>
          <w:rFonts w:ascii="Arial" w:hAnsi="Arial" w:cs="Arial"/>
          <w:sz w:val="22"/>
        </w:rPr>
        <w:t xml:space="preserve"> </w:t>
      </w:r>
      <w:r w:rsidR="00DD3404">
        <w:rPr>
          <w:rFonts w:ascii="Arial" w:hAnsi="Arial" w:cs="Arial"/>
          <w:sz w:val="22"/>
        </w:rPr>
        <w:t>The Director markets and administers</w:t>
      </w:r>
      <w:r w:rsidRPr="00AB1C7D">
        <w:rPr>
          <w:rFonts w:ascii="Arial" w:hAnsi="Arial" w:cs="Arial"/>
          <w:sz w:val="22"/>
        </w:rPr>
        <w:t xml:space="preserve"> </w:t>
      </w:r>
      <w:r w:rsidR="00463936">
        <w:rPr>
          <w:rFonts w:ascii="Arial" w:hAnsi="Arial" w:cs="Arial"/>
          <w:sz w:val="22"/>
        </w:rPr>
        <w:t xml:space="preserve">both </w:t>
      </w:r>
      <w:r w:rsidRPr="00AB1C7D">
        <w:rPr>
          <w:rFonts w:ascii="Arial" w:hAnsi="Arial" w:cs="Arial"/>
          <w:sz w:val="22"/>
        </w:rPr>
        <w:t xml:space="preserve">the </w:t>
      </w:r>
      <w:r w:rsidR="00DD3404">
        <w:rPr>
          <w:rFonts w:ascii="Arial" w:hAnsi="Arial" w:cs="Arial"/>
          <w:sz w:val="22"/>
        </w:rPr>
        <w:t>intramural (</w:t>
      </w:r>
      <w:r w:rsidRPr="00AB1C7D">
        <w:rPr>
          <w:rFonts w:ascii="Arial" w:hAnsi="Arial" w:cs="Arial"/>
          <w:sz w:val="22"/>
        </w:rPr>
        <w:t>recreational</w:t>
      </w:r>
      <w:r w:rsidR="00DD3404">
        <w:rPr>
          <w:rFonts w:ascii="Arial" w:hAnsi="Arial" w:cs="Arial"/>
          <w:sz w:val="22"/>
        </w:rPr>
        <w:t>)</w:t>
      </w:r>
      <w:r w:rsidRPr="00AB1C7D">
        <w:rPr>
          <w:rFonts w:ascii="Arial" w:hAnsi="Arial" w:cs="Arial"/>
          <w:sz w:val="22"/>
        </w:rPr>
        <w:t xml:space="preserve"> sports and</w:t>
      </w:r>
      <w:r w:rsidR="00DD3404">
        <w:rPr>
          <w:rFonts w:ascii="Arial" w:hAnsi="Arial" w:cs="Arial"/>
          <w:sz w:val="22"/>
        </w:rPr>
        <w:t xml:space="preserve"> </w:t>
      </w:r>
      <w:r w:rsidR="00463936">
        <w:rPr>
          <w:rFonts w:ascii="Arial" w:hAnsi="Arial" w:cs="Arial"/>
          <w:sz w:val="22"/>
        </w:rPr>
        <w:t xml:space="preserve">the </w:t>
      </w:r>
      <w:r w:rsidR="00DD3404">
        <w:rPr>
          <w:rFonts w:ascii="Arial" w:hAnsi="Arial" w:cs="Arial"/>
          <w:sz w:val="22"/>
        </w:rPr>
        <w:t>outdoor recreation program</w:t>
      </w:r>
      <w:r w:rsidR="00463936">
        <w:rPr>
          <w:rFonts w:ascii="Arial" w:hAnsi="Arial" w:cs="Arial"/>
          <w:sz w:val="22"/>
        </w:rPr>
        <w:t>s.  Funds</w:t>
      </w:r>
      <w:r w:rsidR="00DD3404">
        <w:rPr>
          <w:rFonts w:ascii="Arial" w:hAnsi="Arial" w:cs="Arial"/>
          <w:sz w:val="22"/>
        </w:rPr>
        <w:t xml:space="preserve"> for </w:t>
      </w:r>
      <w:r w:rsidR="00D61652">
        <w:rPr>
          <w:rFonts w:ascii="Arial" w:hAnsi="Arial" w:cs="Arial"/>
          <w:sz w:val="22"/>
        </w:rPr>
        <w:t>the intramural</w:t>
      </w:r>
      <w:r w:rsidR="00DD3404">
        <w:rPr>
          <w:rFonts w:ascii="Arial" w:hAnsi="Arial" w:cs="Arial"/>
          <w:sz w:val="22"/>
        </w:rPr>
        <w:t xml:space="preserve"> and the outdoor programs are </w:t>
      </w:r>
      <w:r w:rsidRPr="00AB1C7D">
        <w:rPr>
          <w:rFonts w:ascii="Arial" w:hAnsi="Arial" w:cs="Arial"/>
          <w:sz w:val="22"/>
        </w:rPr>
        <w:t>allocated each year by the</w:t>
      </w:r>
      <w:r w:rsidR="00D61652">
        <w:rPr>
          <w:rFonts w:ascii="Arial" w:hAnsi="Arial" w:cs="Arial"/>
          <w:sz w:val="22"/>
        </w:rPr>
        <w:t xml:space="preserve"> student-</w:t>
      </w:r>
      <w:r w:rsidR="00420160">
        <w:rPr>
          <w:rFonts w:ascii="Arial" w:hAnsi="Arial" w:cs="Arial"/>
          <w:sz w:val="22"/>
        </w:rPr>
        <w:t>elected officers of</w:t>
      </w:r>
      <w:r w:rsidRPr="00AB1C7D">
        <w:rPr>
          <w:rFonts w:ascii="Arial" w:hAnsi="Arial" w:cs="Arial"/>
          <w:sz w:val="22"/>
        </w:rPr>
        <w:t xml:space="preserve"> ASMT.</w:t>
      </w:r>
    </w:p>
    <w:p w:rsidR="003D7C01" w:rsidRDefault="003D7C01" w:rsidP="001B4D6A">
      <w:pPr>
        <w:rPr>
          <w:rFonts w:ascii="Arial" w:hAnsi="Arial" w:cs="Arial"/>
          <w:sz w:val="22"/>
        </w:rPr>
      </w:pPr>
    </w:p>
    <w:p w:rsidR="001461B9" w:rsidRPr="00EA2C56" w:rsidRDefault="00A05133" w:rsidP="001B4D6A">
      <w:pPr>
        <w:rPr>
          <w:rFonts w:ascii="Arial" w:hAnsi="Arial" w:cs="Arial"/>
          <w:sz w:val="22"/>
          <w:szCs w:val="22"/>
        </w:rPr>
      </w:pPr>
      <w:r w:rsidRPr="00AB1C7D">
        <w:rPr>
          <w:rFonts w:ascii="Arial" w:hAnsi="Arial" w:cs="Arial"/>
          <w:sz w:val="22"/>
        </w:rPr>
        <w:t xml:space="preserve">Typical program offerings include common team sports for </w:t>
      </w:r>
      <w:r w:rsidR="00D61652">
        <w:rPr>
          <w:rFonts w:ascii="Arial" w:hAnsi="Arial" w:cs="Arial"/>
          <w:sz w:val="22"/>
        </w:rPr>
        <w:t xml:space="preserve">the </w:t>
      </w:r>
      <w:r w:rsidRPr="00AB1C7D">
        <w:rPr>
          <w:rFonts w:ascii="Arial" w:hAnsi="Arial" w:cs="Arial"/>
          <w:sz w:val="22"/>
        </w:rPr>
        <w:t>men, women</w:t>
      </w:r>
      <w:r w:rsidR="00D61652">
        <w:rPr>
          <w:rFonts w:ascii="Arial" w:hAnsi="Arial" w:cs="Arial"/>
          <w:sz w:val="22"/>
        </w:rPr>
        <w:t>, and co-recreational divisions</w:t>
      </w:r>
      <w:r w:rsidRPr="00AB1C7D">
        <w:rPr>
          <w:rFonts w:ascii="Arial" w:hAnsi="Arial" w:cs="Arial"/>
          <w:sz w:val="22"/>
        </w:rPr>
        <w:t xml:space="preserve"> and individual competition events for men and women.   New event schedules are presente</w:t>
      </w:r>
      <w:r w:rsidR="00A43655">
        <w:rPr>
          <w:rFonts w:ascii="Arial" w:hAnsi="Arial" w:cs="Arial"/>
          <w:sz w:val="22"/>
        </w:rPr>
        <w:t>d each semester.  For example, S</w:t>
      </w:r>
      <w:r w:rsidR="00D61652">
        <w:rPr>
          <w:rFonts w:ascii="Arial" w:hAnsi="Arial" w:cs="Arial"/>
          <w:sz w:val="22"/>
        </w:rPr>
        <w:t>pring S</w:t>
      </w:r>
      <w:r w:rsidR="002F79C3">
        <w:rPr>
          <w:rFonts w:ascii="Arial" w:hAnsi="Arial" w:cs="Arial"/>
          <w:sz w:val="22"/>
        </w:rPr>
        <w:t>emester</w:t>
      </w:r>
      <w:r w:rsidRPr="00AB1C7D">
        <w:rPr>
          <w:rFonts w:ascii="Arial" w:hAnsi="Arial" w:cs="Arial"/>
          <w:sz w:val="22"/>
        </w:rPr>
        <w:t xml:space="preserve"> 2008</w:t>
      </w:r>
      <w:r w:rsidR="002035FB">
        <w:rPr>
          <w:rFonts w:ascii="Arial" w:hAnsi="Arial" w:cs="Arial"/>
          <w:sz w:val="22"/>
        </w:rPr>
        <w:t>,</w:t>
      </w:r>
      <w:r w:rsidRPr="00AB1C7D">
        <w:rPr>
          <w:rFonts w:ascii="Arial" w:hAnsi="Arial" w:cs="Arial"/>
          <w:sz w:val="22"/>
        </w:rPr>
        <w:t xml:space="preserve"> there were a total of 28 intramural basket</w:t>
      </w:r>
      <w:r w:rsidR="00DD3404">
        <w:rPr>
          <w:rFonts w:ascii="Arial" w:hAnsi="Arial" w:cs="Arial"/>
          <w:sz w:val="22"/>
        </w:rPr>
        <w:t xml:space="preserve">ball teams, </w:t>
      </w:r>
      <w:r w:rsidRPr="00AB1C7D">
        <w:rPr>
          <w:rFonts w:ascii="Arial" w:hAnsi="Arial" w:cs="Arial"/>
          <w:sz w:val="22"/>
        </w:rPr>
        <w:t xml:space="preserve">22 men’s teams and 6 women’s teams for a total of 175 students participating.  Also, a total </w:t>
      </w:r>
      <w:r w:rsidR="00DD3404">
        <w:rPr>
          <w:rFonts w:ascii="Arial" w:hAnsi="Arial" w:cs="Arial"/>
          <w:sz w:val="22"/>
        </w:rPr>
        <w:t xml:space="preserve">of 18 intramural softball teams, </w:t>
      </w:r>
      <w:r w:rsidRPr="00AB1C7D">
        <w:rPr>
          <w:rFonts w:ascii="Arial" w:hAnsi="Arial" w:cs="Arial"/>
          <w:sz w:val="22"/>
        </w:rPr>
        <w:t>10 men’s teams and 8 co-rec</w:t>
      </w:r>
      <w:r>
        <w:rPr>
          <w:rFonts w:ascii="Arial" w:hAnsi="Arial" w:cs="Arial"/>
          <w:sz w:val="22"/>
        </w:rPr>
        <w:t xml:space="preserve"> teams </w:t>
      </w:r>
      <w:r w:rsidR="00DD3404">
        <w:rPr>
          <w:rFonts w:ascii="Arial" w:hAnsi="Arial" w:cs="Arial"/>
          <w:sz w:val="22"/>
        </w:rPr>
        <w:t>with 200 students participating</w:t>
      </w:r>
      <w:r w:rsidR="00F079ED">
        <w:rPr>
          <w:rFonts w:ascii="Arial" w:hAnsi="Arial" w:cs="Arial"/>
          <w:sz w:val="22"/>
        </w:rPr>
        <w:t>.   Fall S</w:t>
      </w:r>
      <w:r w:rsidR="000420AA">
        <w:rPr>
          <w:rFonts w:ascii="Arial" w:hAnsi="Arial" w:cs="Arial"/>
          <w:sz w:val="22"/>
        </w:rPr>
        <w:t xml:space="preserve">emester </w:t>
      </w:r>
      <w:r>
        <w:rPr>
          <w:rFonts w:ascii="Arial" w:hAnsi="Arial" w:cs="Arial"/>
          <w:sz w:val="22"/>
        </w:rPr>
        <w:t>2008, there were 15 intramural f</w:t>
      </w:r>
      <w:r w:rsidR="00DD3404">
        <w:rPr>
          <w:rFonts w:ascii="Arial" w:hAnsi="Arial" w:cs="Arial"/>
          <w:sz w:val="22"/>
        </w:rPr>
        <w:t xml:space="preserve">lag football teams, </w:t>
      </w:r>
      <w:r w:rsidR="00D61652">
        <w:rPr>
          <w:rFonts w:ascii="Arial" w:hAnsi="Arial" w:cs="Arial"/>
          <w:sz w:val="22"/>
        </w:rPr>
        <w:t>8 men’s teams and</w:t>
      </w:r>
      <w:r>
        <w:rPr>
          <w:rFonts w:ascii="Arial" w:hAnsi="Arial" w:cs="Arial"/>
          <w:sz w:val="22"/>
        </w:rPr>
        <w:t xml:space="preserve"> 7 co-rec teams with approxima</w:t>
      </w:r>
      <w:r w:rsidR="00DD3404">
        <w:rPr>
          <w:rFonts w:ascii="Arial" w:hAnsi="Arial" w:cs="Arial"/>
          <w:sz w:val="22"/>
        </w:rPr>
        <w:t>tely 175 students participating.  I</w:t>
      </w:r>
      <w:r w:rsidR="00F079ED">
        <w:rPr>
          <w:rFonts w:ascii="Arial" w:hAnsi="Arial" w:cs="Arial"/>
          <w:sz w:val="22"/>
        </w:rPr>
        <w:t>n the F</w:t>
      </w:r>
      <w:r>
        <w:rPr>
          <w:rFonts w:ascii="Arial" w:hAnsi="Arial" w:cs="Arial"/>
          <w:sz w:val="22"/>
        </w:rPr>
        <w:t>all o</w:t>
      </w:r>
      <w:r w:rsidR="002F1F68">
        <w:rPr>
          <w:rFonts w:ascii="Arial" w:hAnsi="Arial" w:cs="Arial"/>
          <w:sz w:val="22"/>
        </w:rPr>
        <w:t>f 2008, there were</w:t>
      </w:r>
      <w:r w:rsidR="000420AA">
        <w:rPr>
          <w:rFonts w:ascii="Arial" w:hAnsi="Arial" w:cs="Arial"/>
          <w:sz w:val="22"/>
        </w:rPr>
        <w:t xml:space="preserve"> 24 co-rec teams &amp; </w:t>
      </w:r>
      <w:r w:rsidR="00DD3404">
        <w:rPr>
          <w:rFonts w:ascii="Arial" w:hAnsi="Arial" w:cs="Arial"/>
          <w:sz w:val="22"/>
        </w:rPr>
        <w:t>200 students</w:t>
      </w:r>
      <w:r>
        <w:rPr>
          <w:rFonts w:ascii="Arial" w:hAnsi="Arial" w:cs="Arial"/>
          <w:sz w:val="22"/>
        </w:rPr>
        <w:t xml:space="preserve"> participating in intramural volleyball. </w:t>
      </w:r>
      <w:r w:rsidR="001461B9" w:rsidRPr="00FB3C90">
        <w:rPr>
          <w:rFonts w:ascii="Arial" w:hAnsi="Arial" w:cs="Arial"/>
          <w:color w:val="000000" w:themeColor="text1"/>
          <w:sz w:val="22"/>
          <w:szCs w:val="22"/>
        </w:rPr>
        <w:t>Student</w:t>
      </w:r>
      <w:r w:rsidR="001461B9">
        <w:rPr>
          <w:rFonts w:ascii="Arial" w:hAnsi="Arial" w:cs="Arial"/>
          <w:color w:val="000000" w:themeColor="text1"/>
          <w:sz w:val="22"/>
          <w:szCs w:val="22"/>
        </w:rPr>
        <w:t xml:space="preserve"> satisfaction with the variety of intramural activities offered has steadily increased since 2001.</w:t>
      </w:r>
      <w:r w:rsidR="00D61652">
        <w:rPr>
          <w:rFonts w:ascii="Arial" w:hAnsi="Arial" w:cs="Arial"/>
          <w:color w:val="000000" w:themeColor="text1"/>
          <w:sz w:val="22"/>
          <w:szCs w:val="22"/>
        </w:rPr>
        <w:t xml:space="preserve">  Figure</w:t>
      </w:r>
      <w:r w:rsidR="006C5871">
        <w:rPr>
          <w:rFonts w:ascii="Arial" w:hAnsi="Arial" w:cs="Arial"/>
          <w:color w:val="000000" w:themeColor="text1"/>
          <w:sz w:val="22"/>
          <w:szCs w:val="22"/>
        </w:rPr>
        <w:t xml:space="preserve"> 3.D.12</w:t>
      </w:r>
      <w:r w:rsidR="003A2408">
        <w:rPr>
          <w:rFonts w:ascii="Arial" w:hAnsi="Arial" w:cs="Arial"/>
          <w:color w:val="000000" w:themeColor="text1"/>
          <w:sz w:val="22"/>
          <w:szCs w:val="22"/>
        </w:rPr>
        <w:t xml:space="preserve"> depicts increased satisfaction with the variety of intramurals offered.</w:t>
      </w:r>
      <w:r w:rsidR="00EA2C56" w:rsidRPr="00EA2C56">
        <w:rPr>
          <w:rFonts w:ascii="Arial" w:hAnsi="Arial" w:cs="Arial"/>
          <w:color w:val="FF0000"/>
          <w:sz w:val="22"/>
        </w:rPr>
        <w:t xml:space="preserve"> </w:t>
      </w:r>
    </w:p>
    <w:p w:rsidR="00D04F6C" w:rsidRDefault="00D04F6C" w:rsidP="001B4D6A">
      <w:pPr>
        <w:jc w:val="center"/>
        <w:rPr>
          <w:rFonts w:ascii="Arial" w:hAnsi="Arial" w:cs="Arial"/>
          <w:b/>
          <w:sz w:val="22"/>
          <w:szCs w:val="22"/>
        </w:rPr>
      </w:pPr>
    </w:p>
    <w:p w:rsidR="001461B9" w:rsidRDefault="00A13A5C" w:rsidP="001B4D6A">
      <w:pPr>
        <w:jc w:val="center"/>
        <w:rPr>
          <w:rFonts w:ascii="Arial" w:hAnsi="Arial" w:cs="Arial"/>
          <w:color w:val="000000" w:themeColor="text1"/>
          <w:sz w:val="22"/>
          <w:szCs w:val="22"/>
        </w:rPr>
      </w:pPr>
      <w:r w:rsidRPr="00A13A5C">
        <w:rPr>
          <w:noProof/>
          <w:szCs w:val="22"/>
          <w:lang w:eastAsia="en-US"/>
        </w:rPr>
        <w:drawing>
          <wp:inline distT="0" distB="0" distL="0" distR="0">
            <wp:extent cx="4687910" cy="3200400"/>
            <wp:effectExtent l="0" t="0" r="0" b="0"/>
            <wp:docPr id="3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5"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A05133" w:rsidRDefault="00A05133" w:rsidP="001B4D6A">
      <w:pPr>
        <w:rPr>
          <w:rFonts w:ascii="Arial" w:hAnsi="Arial" w:cs="Arial"/>
          <w:sz w:val="22"/>
        </w:rPr>
      </w:pPr>
    </w:p>
    <w:p w:rsidR="00D61652" w:rsidRPr="003A2408" w:rsidRDefault="00D61652" w:rsidP="001B4D6A">
      <w:pPr>
        <w:jc w:val="center"/>
        <w:rPr>
          <w:rFonts w:ascii="Arial" w:hAnsi="Arial" w:cs="Arial"/>
          <w:b/>
          <w:sz w:val="22"/>
          <w:szCs w:val="22"/>
        </w:rPr>
      </w:pPr>
      <w:r>
        <w:rPr>
          <w:rFonts w:ascii="Arial" w:hAnsi="Arial" w:cs="Arial"/>
          <w:b/>
          <w:sz w:val="22"/>
          <w:szCs w:val="22"/>
        </w:rPr>
        <w:t>Figure 3.D.12:  Intramural Activities</w:t>
      </w:r>
    </w:p>
    <w:p w:rsidR="00A05133" w:rsidRDefault="00A05133" w:rsidP="001B4D6A">
      <w:pPr>
        <w:rPr>
          <w:rFonts w:ascii="Arial" w:hAnsi="Arial" w:cs="Arial"/>
          <w:sz w:val="22"/>
        </w:rPr>
      </w:pPr>
    </w:p>
    <w:p w:rsidR="00A05133" w:rsidRDefault="00A05133" w:rsidP="001B4D6A">
      <w:pPr>
        <w:rPr>
          <w:rFonts w:ascii="Arial" w:hAnsi="Arial" w:cs="Arial"/>
          <w:sz w:val="22"/>
        </w:rPr>
      </w:pPr>
      <w:r>
        <w:rPr>
          <w:rFonts w:ascii="Arial" w:hAnsi="Arial" w:cs="Arial"/>
          <w:sz w:val="22"/>
        </w:rPr>
        <w:lastRenderedPageBreak/>
        <w:t>Other indoor sports activities sponsored by the Campus Rec</w:t>
      </w:r>
      <w:r w:rsidR="00FD2BAF">
        <w:rPr>
          <w:rFonts w:ascii="Arial" w:hAnsi="Arial" w:cs="Arial"/>
          <w:sz w:val="22"/>
        </w:rPr>
        <w:t>reation</w:t>
      </w:r>
      <w:r>
        <w:rPr>
          <w:rFonts w:ascii="Arial" w:hAnsi="Arial" w:cs="Arial"/>
          <w:sz w:val="22"/>
        </w:rPr>
        <w:t xml:space="preserve"> </w:t>
      </w:r>
      <w:r w:rsidR="00D61652">
        <w:rPr>
          <w:rFonts w:ascii="Arial" w:hAnsi="Arial" w:cs="Arial"/>
          <w:sz w:val="22"/>
        </w:rPr>
        <w:t>Department</w:t>
      </w:r>
      <w:r>
        <w:rPr>
          <w:rFonts w:ascii="Arial" w:hAnsi="Arial" w:cs="Arial"/>
          <w:sz w:val="22"/>
        </w:rPr>
        <w:t xml:space="preserve"> are dodge ball tournaments each year</w:t>
      </w:r>
      <w:r w:rsidR="002035FB">
        <w:rPr>
          <w:rFonts w:ascii="Arial" w:hAnsi="Arial" w:cs="Arial"/>
          <w:sz w:val="22"/>
        </w:rPr>
        <w:t xml:space="preserve"> and</w:t>
      </w:r>
      <w:r>
        <w:rPr>
          <w:rFonts w:ascii="Arial" w:hAnsi="Arial" w:cs="Arial"/>
          <w:sz w:val="22"/>
        </w:rPr>
        <w:t xml:space="preserve"> a spring racquetball league followed by a tournament.    </w:t>
      </w:r>
    </w:p>
    <w:p w:rsidR="00A05133" w:rsidRDefault="00A05133" w:rsidP="001B4D6A">
      <w:pPr>
        <w:rPr>
          <w:rFonts w:ascii="Arial" w:hAnsi="Arial" w:cs="Arial"/>
          <w:sz w:val="22"/>
        </w:rPr>
      </w:pPr>
    </w:p>
    <w:p w:rsidR="00A05133" w:rsidRDefault="00A05133" w:rsidP="001B4D6A">
      <w:pPr>
        <w:rPr>
          <w:rFonts w:ascii="Arial" w:hAnsi="Arial" w:cs="Arial"/>
          <w:sz w:val="22"/>
        </w:rPr>
      </w:pPr>
      <w:r>
        <w:rPr>
          <w:rFonts w:ascii="Arial" w:hAnsi="Arial" w:cs="Arial"/>
          <w:sz w:val="22"/>
        </w:rPr>
        <w:t>The outdoor recreation portion of the program offers equipment rentals (backpacks, tents, sleeping bags, snow shoes, cooking equipmen</w:t>
      </w:r>
      <w:r w:rsidR="00FD2BAF">
        <w:rPr>
          <w:rFonts w:ascii="Arial" w:hAnsi="Arial" w:cs="Arial"/>
          <w:sz w:val="22"/>
        </w:rPr>
        <w:t>t, coolers, rafts, and kayaks) for</w:t>
      </w:r>
      <w:r>
        <w:rPr>
          <w:rFonts w:ascii="Arial" w:hAnsi="Arial" w:cs="Arial"/>
          <w:sz w:val="22"/>
        </w:rPr>
        <w:t xml:space="preserve"> outdoo</w:t>
      </w:r>
      <w:r w:rsidR="00B50D8A">
        <w:rPr>
          <w:rFonts w:ascii="Arial" w:hAnsi="Arial" w:cs="Arial"/>
          <w:sz w:val="22"/>
        </w:rPr>
        <w:t xml:space="preserve">r </w:t>
      </w:r>
      <w:r w:rsidR="002F79C3">
        <w:rPr>
          <w:rFonts w:ascii="Arial" w:hAnsi="Arial" w:cs="Arial"/>
          <w:sz w:val="22"/>
        </w:rPr>
        <w:t>activitie</w:t>
      </w:r>
      <w:r w:rsidR="00B50D8A">
        <w:rPr>
          <w:rFonts w:ascii="Arial" w:hAnsi="Arial" w:cs="Arial"/>
          <w:sz w:val="22"/>
        </w:rPr>
        <w:t xml:space="preserve">s, day hikes, and </w:t>
      </w:r>
      <w:r w:rsidR="00D61652">
        <w:rPr>
          <w:rFonts w:ascii="Arial" w:hAnsi="Arial" w:cs="Arial"/>
          <w:sz w:val="22"/>
        </w:rPr>
        <w:t xml:space="preserve">for </w:t>
      </w:r>
      <w:r w:rsidR="00B50D8A">
        <w:rPr>
          <w:rFonts w:ascii="Arial" w:hAnsi="Arial" w:cs="Arial"/>
          <w:sz w:val="22"/>
        </w:rPr>
        <w:t>cross-</w:t>
      </w:r>
      <w:r>
        <w:rPr>
          <w:rFonts w:ascii="Arial" w:hAnsi="Arial" w:cs="Arial"/>
          <w:sz w:val="22"/>
        </w:rPr>
        <w:t>country skiing.</w:t>
      </w:r>
    </w:p>
    <w:p w:rsidR="00A05133" w:rsidRDefault="00A05133" w:rsidP="001B4D6A">
      <w:pPr>
        <w:rPr>
          <w:rFonts w:ascii="Arial" w:hAnsi="Arial" w:cs="Arial"/>
          <w:sz w:val="22"/>
        </w:rPr>
      </w:pPr>
    </w:p>
    <w:p w:rsidR="00A05133" w:rsidRDefault="00A05133" w:rsidP="001B4D6A">
      <w:pPr>
        <w:rPr>
          <w:rFonts w:ascii="Arial" w:hAnsi="Arial" w:cs="Arial"/>
          <w:sz w:val="22"/>
        </w:rPr>
      </w:pPr>
      <w:r>
        <w:rPr>
          <w:rFonts w:ascii="Arial" w:hAnsi="Arial" w:cs="Arial"/>
          <w:sz w:val="22"/>
        </w:rPr>
        <w:t xml:space="preserve">The Campus Recreation program takes full advantage of its geographical location to </w:t>
      </w:r>
      <w:r w:rsidR="00D61652">
        <w:rPr>
          <w:rFonts w:ascii="Arial" w:hAnsi="Arial" w:cs="Arial"/>
          <w:sz w:val="22"/>
        </w:rPr>
        <w:t>enable</w:t>
      </w:r>
      <w:r>
        <w:rPr>
          <w:rFonts w:ascii="Arial" w:hAnsi="Arial" w:cs="Arial"/>
          <w:sz w:val="22"/>
        </w:rPr>
        <w:t xml:space="preserve"> students to engage in outdoor pursuits.  The objective of the outdoor recreation part of the program is to make available outdoor experiences that may otherwise not occur in the leisure time of college students.</w:t>
      </w:r>
    </w:p>
    <w:p w:rsidR="00A05133" w:rsidRDefault="00A05133" w:rsidP="001B4D6A">
      <w:pPr>
        <w:rPr>
          <w:rFonts w:ascii="Arial" w:hAnsi="Arial" w:cs="Arial"/>
          <w:sz w:val="22"/>
        </w:rPr>
      </w:pPr>
    </w:p>
    <w:p w:rsidR="000142A1" w:rsidRPr="00D16EB4" w:rsidRDefault="00A05133" w:rsidP="001B4D6A">
      <w:pPr>
        <w:rPr>
          <w:rFonts w:ascii="Arial" w:hAnsi="Arial" w:cs="Arial"/>
          <w:color w:val="0033CC"/>
          <w:sz w:val="22"/>
        </w:rPr>
      </w:pPr>
      <w:r>
        <w:rPr>
          <w:rFonts w:ascii="Arial" w:hAnsi="Arial" w:cs="Arial"/>
          <w:sz w:val="22"/>
        </w:rPr>
        <w:t xml:space="preserve">Montana Tech offers substantial facilities for </w:t>
      </w:r>
      <w:r w:rsidR="000420AA">
        <w:rPr>
          <w:rFonts w:ascii="Arial" w:hAnsi="Arial" w:cs="Arial"/>
          <w:sz w:val="22"/>
        </w:rPr>
        <w:t xml:space="preserve">the </w:t>
      </w:r>
      <w:r>
        <w:rPr>
          <w:rFonts w:ascii="Arial" w:hAnsi="Arial" w:cs="Arial"/>
          <w:sz w:val="22"/>
        </w:rPr>
        <w:t>leisure interests of students. The Health, Physical</w:t>
      </w:r>
      <w:r>
        <w:t xml:space="preserve"> </w:t>
      </w:r>
      <w:r>
        <w:rPr>
          <w:rFonts w:ascii="Arial" w:hAnsi="Arial" w:cs="Arial"/>
          <w:sz w:val="22"/>
        </w:rPr>
        <w:t>Education, and Recreation Complex (HPER) contains four basketball courts, six handball/racquetball courts, a six lane</w:t>
      </w:r>
      <w:r w:rsidR="00076D2D">
        <w:rPr>
          <w:rFonts w:ascii="Arial" w:hAnsi="Arial" w:cs="Arial"/>
          <w:sz w:val="22"/>
        </w:rPr>
        <w:t>/</w:t>
      </w:r>
      <w:r>
        <w:rPr>
          <w:rFonts w:ascii="Arial" w:hAnsi="Arial" w:cs="Arial"/>
          <w:sz w:val="22"/>
        </w:rPr>
        <w:t xml:space="preserve">25 meter swimming pool,  volleyball courts, weight training room, cardio room, dance and aerobics room, and a full complement of shower/locker rooms for men and </w:t>
      </w:r>
      <w:r w:rsidRPr="003D436D">
        <w:rPr>
          <w:rFonts w:ascii="Arial" w:hAnsi="Arial" w:cs="Arial"/>
          <w:sz w:val="22"/>
        </w:rPr>
        <w:t>women</w:t>
      </w:r>
      <w:r w:rsidR="000142A1" w:rsidRPr="003D436D">
        <w:rPr>
          <w:rFonts w:ascii="Arial" w:hAnsi="Arial" w:cs="Arial"/>
          <w:sz w:val="22"/>
        </w:rPr>
        <w:t>.</w:t>
      </w:r>
      <w:r w:rsidRPr="003D436D">
        <w:rPr>
          <w:rFonts w:ascii="Arial" w:hAnsi="Arial" w:cs="Arial"/>
          <w:sz w:val="22"/>
        </w:rPr>
        <w:t xml:space="preserve"> </w:t>
      </w:r>
      <w:r w:rsidR="000142A1" w:rsidRPr="003D436D">
        <w:rPr>
          <w:rFonts w:ascii="Arial" w:hAnsi="Arial" w:cs="Arial"/>
          <w:sz w:val="22"/>
        </w:rPr>
        <w:t>The HPER gymnasium underwent a sig</w:t>
      </w:r>
      <w:r w:rsidR="000420AA">
        <w:rPr>
          <w:rFonts w:ascii="Arial" w:hAnsi="Arial" w:cs="Arial"/>
          <w:sz w:val="22"/>
        </w:rPr>
        <w:t>nificant upgrade in the S</w:t>
      </w:r>
      <w:r w:rsidR="000142A1" w:rsidRPr="003D436D">
        <w:rPr>
          <w:rFonts w:ascii="Arial" w:hAnsi="Arial" w:cs="Arial"/>
          <w:sz w:val="22"/>
        </w:rPr>
        <w:t>ummer of 2007 and is now one of the most modern arenas in the Frontier Conference.  This was a public-private partnership with approximately half of the total project funds generated by private donors.</w:t>
      </w:r>
      <w:r w:rsidR="000142A1" w:rsidRPr="00D16EB4">
        <w:rPr>
          <w:rFonts w:ascii="Arial" w:hAnsi="Arial" w:cs="Arial"/>
          <w:color w:val="0033CC"/>
          <w:sz w:val="22"/>
        </w:rPr>
        <w:t xml:space="preserve"> </w:t>
      </w:r>
    </w:p>
    <w:p w:rsidR="000142A1" w:rsidRPr="00D16EB4" w:rsidRDefault="000142A1" w:rsidP="001B4D6A">
      <w:pPr>
        <w:rPr>
          <w:rFonts w:ascii="Arial" w:hAnsi="Arial" w:cs="Arial"/>
          <w:sz w:val="22"/>
        </w:rPr>
      </w:pPr>
    </w:p>
    <w:p w:rsidR="000142A1" w:rsidRDefault="000142A1" w:rsidP="001B4D6A">
      <w:pPr>
        <w:rPr>
          <w:rFonts w:ascii="Arial" w:hAnsi="Arial" w:cs="Arial"/>
          <w:sz w:val="22"/>
        </w:rPr>
      </w:pPr>
      <w:r>
        <w:rPr>
          <w:rFonts w:ascii="Arial" w:hAnsi="Arial" w:cs="Arial"/>
          <w:sz w:val="22"/>
        </w:rPr>
        <w:t xml:space="preserve">The HPER gymnasium is used extensively, not only by intramurals, but also by Montana Tech varsity athletics.  Thus, lack of available gym time can be </w:t>
      </w:r>
      <w:r w:rsidR="000420AA">
        <w:rPr>
          <w:rFonts w:ascii="Arial" w:hAnsi="Arial" w:cs="Arial"/>
          <w:sz w:val="22"/>
        </w:rPr>
        <w:t>a problem in the Fall/W</w:t>
      </w:r>
      <w:r>
        <w:rPr>
          <w:rFonts w:ascii="Arial" w:hAnsi="Arial" w:cs="Arial"/>
          <w:sz w:val="22"/>
        </w:rPr>
        <w:t>inter.  With all three varsity teams practicin</w:t>
      </w:r>
      <w:r w:rsidR="002F79C3">
        <w:rPr>
          <w:rFonts w:ascii="Arial" w:hAnsi="Arial" w:cs="Arial"/>
          <w:sz w:val="22"/>
        </w:rPr>
        <w:t>g (volleyball, men’s</w:t>
      </w:r>
      <w:r>
        <w:rPr>
          <w:rFonts w:ascii="Arial" w:hAnsi="Arial" w:cs="Arial"/>
          <w:sz w:val="22"/>
        </w:rPr>
        <w:t xml:space="preserve"> and women’s basketball), there is little time for intramurals or general use of the gym for students.  Management does provide some open gym time for all students to exercise and socialize; however, at times it is almost impossible to provide enough time for everyone.</w:t>
      </w:r>
    </w:p>
    <w:p w:rsidR="000142A1" w:rsidRDefault="000142A1" w:rsidP="001B4D6A">
      <w:pPr>
        <w:rPr>
          <w:rFonts w:ascii="Arial" w:hAnsi="Arial" w:cs="Arial"/>
          <w:sz w:val="22"/>
        </w:rPr>
      </w:pPr>
    </w:p>
    <w:p w:rsidR="000142A1" w:rsidRPr="003D436D" w:rsidRDefault="000142A1" w:rsidP="001B4D6A">
      <w:pPr>
        <w:rPr>
          <w:rFonts w:ascii="Arial" w:hAnsi="Arial" w:cs="Arial"/>
          <w:sz w:val="22"/>
        </w:rPr>
      </w:pPr>
      <w:r w:rsidRPr="003D436D">
        <w:rPr>
          <w:rFonts w:ascii="Arial" w:hAnsi="Arial" w:cs="Arial"/>
          <w:sz w:val="22"/>
        </w:rPr>
        <w:t xml:space="preserve">In an effort to address the needs of all students, the campus leadership, in conjunction with the student government, delivered a resolution to the Montana Board of Regents to approve a student fee aimed at expanding and renovating the HPER complex.  This fee will generate $3 million over the next </w:t>
      </w:r>
      <w:r w:rsidR="000420AA">
        <w:rPr>
          <w:rFonts w:ascii="Arial" w:hAnsi="Arial" w:cs="Arial"/>
          <w:sz w:val="22"/>
        </w:rPr>
        <w:t>15 years and was approved by</w:t>
      </w:r>
      <w:r w:rsidRPr="003D436D">
        <w:rPr>
          <w:rFonts w:ascii="Arial" w:hAnsi="Arial" w:cs="Arial"/>
          <w:sz w:val="22"/>
        </w:rPr>
        <w:t xml:space="preserve"> ASMT and taken to a vot</w:t>
      </w:r>
      <w:r w:rsidR="000420AA">
        <w:rPr>
          <w:rFonts w:ascii="Arial" w:hAnsi="Arial" w:cs="Arial"/>
          <w:sz w:val="22"/>
        </w:rPr>
        <w:t>e of the student body.  In the S</w:t>
      </w:r>
      <w:r w:rsidRPr="003D436D">
        <w:rPr>
          <w:rFonts w:ascii="Arial" w:hAnsi="Arial" w:cs="Arial"/>
          <w:sz w:val="22"/>
        </w:rPr>
        <w:t xml:space="preserve">pring of 2009, </w:t>
      </w:r>
      <w:r w:rsidR="002F1F68">
        <w:rPr>
          <w:rFonts w:ascii="Arial" w:hAnsi="Arial" w:cs="Arial"/>
          <w:sz w:val="22"/>
        </w:rPr>
        <w:t xml:space="preserve">the </w:t>
      </w:r>
      <w:r w:rsidRPr="003D436D">
        <w:rPr>
          <w:rFonts w:ascii="Arial" w:hAnsi="Arial" w:cs="Arial"/>
          <w:sz w:val="22"/>
        </w:rPr>
        <w:t>Chancellor approached the Regents with Tech’s proposal.  In September of 2009</w:t>
      </w:r>
      <w:r w:rsidR="000420AA">
        <w:rPr>
          <w:rFonts w:ascii="Arial" w:hAnsi="Arial" w:cs="Arial"/>
          <w:sz w:val="22"/>
        </w:rPr>
        <w:t>,</w:t>
      </w:r>
      <w:r w:rsidRPr="003D436D">
        <w:rPr>
          <w:rFonts w:ascii="Arial" w:hAnsi="Arial" w:cs="Arial"/>
          <w:sz w:val="22"/>
        </w:rPr>
        <w:t xml:space="preserve"> the resolution passed and the process to upgrade and expand the building began.  An architect was selected in December of 2009 and the construction pro</w:t>
      </w:r>
      <w:r w:rsidR="000420AA">
        <w:rPr>
          <w:rFonts w:ascii="Arial" w:hAnsi="Arial" w:cs="Arial"/>
          <w:sz w:val="22"/>
        </w:rPr>
        <w:t>ject is slated to begin in the S</w:t>
      </w:r>
      <w:r w:rsidRPr="003D436D">
        <w:rPr>
          <w:rFonts w:ascii="Arial" w:hAnsi="Arial" w:cs="Arial"/>
          <w:sz w:val="22"/>
        </w:rPr>
        <w:t>pring of 2010.</w:t>
      </w:r>
    </w:p>
    <w:p w:rsidR="00A05133" w:rsidRDefault="00A05133" w:rsidP="001B4D6A">
      <w:pPr>
        <w:rPr>
          <w:rFonts w:ascii="Arial" w:hAnsi="Arial" w:cs="Arial"/>
          <w:sz w:val="22"/>
        </w:rPr>
      </w:pPr>
    </w:p>
    <w:p w:rsidR="00212730" w:rsidRDefault="000420AA" w:rsidP="001B4D6A">
      <w:pPr>
        <w:rPr>
          <w:rFonts w:ascii="Arial" w:hAnsi="Arial" w:cs="Arial"/>
          <w:sz w:val="22"/>
        </w:rPr>
      </w:pPr>
      <w:r>
        <w:rPr>
          <w:rFonts w:ascii="Arial" w:hAnsi="Arial" w:cs="Arial"/>
          <w:sz w:val="22"/>
        </w:rPr>
        <w:t>A number of o</w:t>
      </w:r>
      <w:r w:rsidR="00A05133">
        <w:rPr>
          <w:rFonts w:ascii="Arial" w:hAnsi="Arial" w:cs="Arial"/>
          <w:sz w:val="22"/>
        </w:rPr>
        <w:t>utdoor recreation areas are available on the Tech campus</w:t>
      </w:r>
      <w:r w:rsidR="00A05133" w:rsidRPr="007943C8">
        <w:rPr>
          <w:rFonts w:ascii="Arial" w:hAnsi="Arial" w:cs="Arial"/>
          <w:sz w:val="22"/>
        </w:rPr>
        <w:t xml:space="preserve">: </w:t>
      </w:r>
      <w:r w:rsidR="007943C8">
        <w:rPr>
          <w:rFonts w:ascii="Arial" w:hAnsi="Arial" w:cs="Arial"/>
          <w:sz w:val="22"/>
        </w:rPr>
        <w:t xml:space="preserve">Leonard field, </w:t>
      </w:r>
      <w:r w:rsidR="00A05133">
        <w:rPr>
          <w:rFonts w:ascii="Arial" w:hAnsi="Arial" w:cs="Arial"/>
          <w:sz w:val="22"/>
        </w:rPr>
        <w:t xml:space="preserve">practice fields, and one </w:t>
      </w:r>
      <w:r w:rsidR="00797C2D">
        <w:rPr>
          <w:rFonts w:ascii="Arial" w:hAnsi="Arial" w:cs="Arial"/>
          <w:sz w:val="22"/>
        </w:rPr>
        <w:t>lighted</w:t>
      </w:r>
      <w:r w:rsidR="00A05133">
        <w:rPr>
          <w:rFonts w:ascii="Arial" w:hAnsi="Arial" w:cs="Arial"/>
          <w:sz w:val="22"/>
        </w:rPr>
        <w:t xml:space="preserve"> combination baseball and football </w:t>
      </w:r>
      <w:r w:rsidR="00AC4513">
        <w:rPr>
          <w:rFonts w:ascii="Arial" w:hAnsi="Arial" w:cs="Arial"/>
          <w:sz w:val="22"/>
        </w:rPr>
        <w:t>area.   These fields are shared-</w:t>
      </w:r>
      <w:r w:rsidR="00A05133">
        <w:rPr>
          <w:rFonts w:ascii="Arial" w:hAnsi="Arial" w:cs="Arial"/>
          <w:sz w:val="22"/>
        </w:rPr>
        <w:t>usage fields</w:t>
      </w:r>
      <w:r w:rsidR="00AC4513">
        <w:rPr>
          <w:rFonts w:ascii="Arial" w:hAnsi="Arial" w:cs="Arial"/>
          <w:sz w:val="22"/>
        </w:rPr>
        <w:t xml:space="preserve"> which are used by</w:t>
      </w:r>
      <w:r w:rsidR="00A05133">
        <w:rPr>
          <w:rFonts w:ascii="Arial" w:hAnsi="Arial" w:cs="Arial"/>
          <w:sz w:val="22"/>
        </w:rPr>
        <w:t xml:space="preserve"> varsity football, intramurals, </w:t>
      </w:r>
      <w:r w:rsidR="00AC4513">
        <w:rPr>
          <w:rFonts w:ascii="Arial" w:hAnsi="Arial" w:cs="Arial"/>
          <w:sz w:val="22"/>
        </w:rPr>
        <w:t xml:space="preserve">by </w:t>
      </w:r>
      <w:r w:rsidR="00D30D61">
        <w:rPr>
          <w:rFonts w:ascii="Arial" w:hAnsi="Arial" w:cs="Arial"/>
          <w:sz w:val="22"/>
        </w:rPr>
        <w:t>rugby,</w:t>
      </w:r>
      <w:r w:rsidR="00A05133">
        <w:rPr>
          <w:rFonts w:ascii="Arial" w:hAnsi="Arial" w:cs="Arial"/>
          <w:sz w:val="22"/>
        </w:rPr>
        <w:t xml:space="preserve"> soccer, and </w:t>
      </w:r>
      <w:r w:rsidR="00AC4513">
        <w:rPr>
          <w:rFonts w:ascii="Arial" w:hAnsi="Arial" w:cs="Arial"/>
          <w:sz w:val="22"/>
        </w:rPr>
        <w:t>by</w:t>
      </w:r>
      <w:r w:rsidR="00682F7F">
        <w:rPr>
          <w:rFonts w:ascii="Arial" w:hAnsi="Arial" w:cs="Arial"/>
          <w:sz w:val="22"/>
        </w:rPr>
        <w:t xml:space="preserve"> </w:t>
      </w:r>
      <w:r w:rsidR="00A05133">
        <w:rPr>
          <w:rFonts w:ascii="Arial" w:hAnsi="Arial" w:cs="Arial"/>
          <w:sz w:val="22"/>
        </w:rPr>
        <w:t xml:space="preserve">some community events. </w:t>
      </w:r>
    </w:p>
    <w:p w:rsidR="00FD2BAF" w:rsidRDefault="00FD2BAF" w:rsidP="001B4D6A">
      <w:pPr>
        <w:rPr>
          <w:rFonts w:ascii="Palatino Linotype" w:hAnsi="Palatino Linotype"/>
          <w:sz w:val="22"/>
          <w:szCs w:val="22"/>
        </w:rPr>
      </w:pPr>
    </w:p>
    <w:p w:rsidR="00CB2DD3" w:rsidRPr="00CB2DD3" w:rsidRDefault="00CB2DD3" w:rsidP="001B4D6A">
      <w:pPr>
        <w:rPr>
          <w:rFonts w:ascii="Arial" w:hAnsi="Arial" w:cs="Arial"/>
          <w:b/>
          <w:sz w:val="22"/>
          <w:szCs w:val="22"/>
        </w:rPr>
      </w:pPr>
      <w:r w:rsidRPr="00CB2DD3">
        <w:rPr>
          <w:rFonts w:ascii="Arial" w:hAnsi="Arial" w:cs="Arial"/>
          <w:b/>
          <w:sz w:val="22"/>
          <w:szCs w:val="22"/>
        </w:rPr>
        <w:t>3.D.18 If the institution operates a bookstore, it supports the educational program and contributes to the intellectual climate of the campus community. Students, faculty, and staff have the opportunity to participate in the development and monitoring of bookstore policies and procedures.</w:t>
      </w:r>
      <w:r w:rsidR="00487DC2">
        <w:rPr>
          <w:rFonts w:ascii="Arial" w:hAnsi="Arial" w:cs="Arial"/>
          <w:b/>
          <w:sz w:val="22"/>
          <w:szCs w:val="22"/>
        </w:rPr>
        <w:t xml:space="preserve"> </w:t>
      </w:r>
    </w:p>
    <w:p w:rsidR="007F1EA8" w:rsidRDefault="007F1EA8" w:rsidP="001B4D6A">
      <w:pPr>
        <w:rPr>
          <w:rFonts w:ascii="Arial" w:hAnsi="Arial" w:cs="Arial"/>
          <w:sz w:val="22"/>
          <w:szCs w:val="22"/>
        </w:rPr>
      </w:pPr>
    </w:p>
    <w:p w:rsidR="003345CD" w:rsidRPr="003345CD" w:rsidRDefault="002B61E1" w:rsidP="001B4D6A">
      <w:pPr>
        <w:rPr>
          <w:rFonts w:ascii="Arial" w:hAnsi="Arial" w:cs="Arial"/>
          <w:color w:val="0033CC"/>
          <w:sz w:val="22"/>
          <w:szCs w:val="22"/>
        </w:rPr>
      </w:pPr>
      <w:r w:rsidRPr="00717C4B">
        <w:rPr>
          <w:rFonts w:ascii="Arial" w:hAnsi="Arial" w:cs="Arial"/>
          <w:sz w:val="22"/>
          <w:szCs w:val="22"/>
        </w:rPr>
        <w:t>Tech provides a full servi</w:t>
      </w:r>
      <w:r w:rsidR="002F79C3">
        <w:rPr>
          <w:rFonts w:ascii="Arial" w:hAnsi="Arial" w:cs="Arial"/>
          <w:sz w:val="22"/>
          <w:szCs w:val="22"/>
        </w:rPr>
        <w:t>ce, on-</w:t>
      </w:r>
      <w:r w:rsidR="00AC4513">
        <w:rPr>
          <w:rFonts w:ascii="Arial" w:hAnsi="Arial" w:cs="Arial"/>
          <w:sz w:val="22"/>
          <w:szCs w:val="22"/>
        </w:rPr>
        <w:t>campus bookstore that has</w:t>
      </w:r>
      <w:r w:rsidR="00717C4B" w:rsidRPr="00717C4B">
        <w:rPr>
          <w:rFonts w:ascii="Arial" w:hAnsi="Arial" w:cs="Arial"/>
          <w:sz w:val="22"/>
          <w:szCs w:val="22"/>
        </w:rPr>
        <w:t xml:space="preserve"> a textbook support system,</w:t>
      </w:r>
      <w:r w:rsidRPr="00717C4B">
        <w:rPr>
          <w:rFonts w:ascii="Arial" w:hAnsi="Arial" w:cs="Arial"/>
          <w:sz w:val="22"/>
          <w:szCs w:val="22"/>
        </w:rPr>
        <w:t xml:space="preserve"> a full ar</w:t>
      </w:r>
      <w:r w:rsidR="00717C4B" w:rsidRPr="00717C4B">
        <w:rPr>
          <w:rFonts w:ascii="Arial" w:hAnsi="Arial" w:cs="Arial"/>
          <w:sz w:val="22"/>
          <w:szCs w:val="22"/>
        </w:rPr>
        <w:t>ray of academic/office supplies,</w:t>
      </w:r>
      <w:r w:rsidRPr="00717C4B">
        <w:rPr>
          <w:rFonts w:ascii="Arial" w:hAnsi="Arial" w:cs="Arial"/>
          <w:sz w:val="22"/>
          <w:szCs w:val="22"/>
        </w:rPr>
        <w:t xml:space="preserve"> personal h</w:t>
      </w:r>
      <w:r w:rsidR="00717C4B" w:rsidRPr="00717C4B">
        <w:rPr>
          <w:rFonts w:ascii="Arial" w:hAnsi="Arial" w:cs="Arial"/>
          <w:sz w:val="22"/>
          <w:szCs w:val="22"/>
        </w:rPr>
        <w:t xml:space="preserve">ygiene </w:t>
      </w:r>
      <w:r w:rsidR="00AC4513">
        <w:rPr>
          <w:rFonts w:ascii="Arial" w:hAnsi="Arial" w:cs="Arial"/>
          <w:sz w:val="22"/>
          <w:szCs w:val="22"/>
        </w:rPr>
        <w:t>items</w:t>
      </w:r>
      <w:r w:rsidR="00717C4B" w:rsidRPr="00717C4B">
        <w:rPr>
          <w:rFonts w:ascii="Arial" w:hAnsi="Arial" w:cs="Arial"/>
          <w:sz w:val="22"/>
          <w:szCs w:val="22"/>
        </w:rPr>
        <w:t>, computer supplies, candy/snacks,</w:t>
      </w:r>
      <w:r w:rsidRPr="00717C4B">
        <w:rPr>
          <w:rFonts w:ascii="Arial" w:hAnsi="Arial" w:cs="Arial"/>
          <w:sz w:val="22"/>
          <w:szCs w:val="22"/>
        </w:rPr>
        <w:t xml:space="preserve"> and college </w:t>
      </w:r>
      <w:r w:rsidR="007D25E6">
        <w:rPr>
          <w:rFonts w:ascii="Arial" w:hAnsi="Arial" w:cs="Arial"/>
          <w:sz w:val="22"/>
          <w:szCs w:val="22"/>
        </w:rPr>
        <w:t xml:space="preserve">logo clothing. </w:t>
      </w:r>
      <w:r w:rsidR="00A3283A">
        <w:rPr>
          <w:rFonts w:ascii="Arial" w:hAnsi="Arial" w:cs="Arial"/>
          <w:sz w:val="22"/>
          <w:szCs w:val="22"/>
        </w:rPr>
        <w:t>The</w:t>
      </w:r>
      <w:r w:rsidR="007D25E6">
        <w:rPr>
          <w:rFonts w:ascii="Arial" w:hAnsi="Arial" w:cs="Arial"/>
          <w:sz w:val="22"/>
          <w:szCs w:val="22"/>
        </w:rPr>
        <w:t xml:space="preserve"> Bookstore website </w:t>
      </w:r>
      <w:r w:rsidR="00A3283A">
        <w:rPr>
          <w:rFonts w:ascii="Arial" w:hAnsi="Arial" w:cs="Arial"/>
          <w:sz w:val="22"/>
          <w:szCs w:val="22"/>
        </w:rPr>
        <w:t xml:space="preserve">is </w:t>
      </w:r>
      <w:hyperlink r:id="rId76" w:history="1">
        <w:r w:rsidR="003F59F6" w:rsidRPr="003F59F6">
          <w:rPr>
            <w:rStyle w:val="Hyperlink"/>
            <w:rFonts w:ascii="Arial" w:hAnsi="Arial" w:cs="Arial"/>
            <w:sz w:val="22"/>
            <w:szCs w:val="22"/>
          </w:rPr>
          <w:t>http://www.montanatechbookstore.com/</w:t>
        </w:r>
      </w:hyperlink>
      <w:r w:rsidR="007D25E6">
        <w:t>.</w:t>
      </w:r>
      <w:r w:rsidR="007D25E6">
        <w:rPr>
          <w:rFonts w:ascii="Arial" w:hAnsi="Arial" w:cs="Arial"/>
          <w:sz w:val="22"/>
          <w:szCs w:val="22"/>
        </w:rPr>
        <w:t xml:space="preserve">  </w:t>
      </w:r>
      <w:r w:rsidR="00AC4513" w:rsidRPr="008F2D46">
        <w:rPr>
          <w:rFonts w:ascii="Arial" w:hAnsi="Arial" w:cs="Arial"/>
          <w:sz w:val="22"/>
          <w:szCs w:val="22"/>
        </w:rPr>
        <w:t>Specialized items can be single-</w:t>
      </w:r>
      <w:r w:rsidRPr="008F2D46">
        <w:rPr>
          <w:rFonts w:ascii="Arial" w:hAnsi="Arial" w:cs="Arial"/>
          <w:sz w:val="22"/>
          <w:szCs w:val="22"/>
        </w:rPr>
        <w:t xml:space="preserve">ordered for customer convenience.  Hours of operation are favorable to students and faculty/staff alike.  Input </w:t>
      </w:r>
      <w:r w:rsidR="00AC4513" w:rsidRPr="008F2D46">
        <w:rPr>
          <w:rFonts w:ascii="Arial" w:hAnsi="Arial" w:cs="Arial"/>
          <w:sz w:val="22"/>
          <w:szCs w:val="22"/>
        </w:rPr>
        <w:t>on</w:t>
      </w:r>
      <w:r w:rsidRPr="008F2D46">
        <w:rPr>
          <w:rFonts w:ascii="Arial" w:hAnsi="Arial" w:cs="Arial"/>
          <w:sz w:val="22"/>
          <w:szCs w:val="22"/>
        </w:rPr>
        <w:t xml:space="preserve"> bookstore policies </w:t>
      </w:r>
      <w:r w:rsidR="00AC4513" w:rsidRPr="008F2D46">
        <w:rPr>
          <w:rFonts w:ascii="Arial" w:hAnsi="Arial" w:cs="Arial"/>
          <w:sz w:val="22"/>
          <w:szCs w:val="22"/>
        </w:rPr>
        <w:t>is gained by</w:t>
      </w:r>
      <w:r w:rsidRPr="008F2D46">
        <w:rPr>
          <w:rFonts w:ascii="Arial" w:hAnsi="Arial" w:cs="Arial"/>
          <w:sz w:val="22"/>
          <w:szCs w:val="22"/>
        </w:rPr>
        <w:t xml:space="preserve"> </w:t>
      </w:r>
      <w:r w:rsidR="00ED5E44" w:rsidRPr="008F2D46">
        <w:rPr>
          <w:rFonts w:ascii="Arial" w:hAnsi="Arial" w:cs="Arial"/>
          <w:sz w:val="22"/>
          <w:szCs w:val="22"/>
        </w:rPr>
        <w:t>t</w:t>
      </w:r>
      <w:r w:rsidR="00AC4513" w:rsidRPr="008F2D46">
        <w:rPr>
          <w:rFonts w:ascii="Arial" w:hAnsi="Arial" w:cs="Arial"/>
          <w:sz w:val="22"/>
          <w:szCs w:val="22"/>
        </w:rPr>
        <w:t>he Bookstore Advisory C</w:t>
      </w:r>
      <w:r w:rsidR="0081414D" w:rsidRPr="008F2D46">
        <w:rPr>
          <w:rFonts w:ascii="Arial" w:hAnsi="Arial" w:cs="Arial"/>
          <w:sz w:val="22"/>
          <w:szCs w:val="22"/>
        </w:rPr>
        <w:t>ommittee</w:t>
      </w:r>
      <w:r w:rsidR="00111977" w:rsidRPr="008F2D46">
        <w:rPr>
          <w:rFonts w:ascii="Arial" w:hAnsi="Arial" w:cs="Arial"/>
          <w:sz w:val="22"/>
          <w:szCs w:val="22"/>
        </w:rPr>
        <w:t xml:space="preserve"> </w:t>
      </w:r>
      <w:r w:rsidR="00AC4513" w:rsidRPr="008F2D46">
        <w:rPr>
          <w:rFonts w:ascii="Arial" w:hAnsi="Arial" w:cs="Arial"/>
          <w:sz w:val="22"/>
          <w:szCs w:val="22"/>
        </w:rPr>
        <w:t xml:space="preserve">which is co-chaired by the Bookstore Director and the Director </w:t>
      </w:r>
      <w:r w:rsidR="000420AA">
        <w:rPr>
          <w:rFonts w:ascii="Arial" w:hAnsi="Arial" w:cs="Arial"/>
          <w:sz w:val="22"/>
          <w:szCs w:val="22"/>
        </w:rPr>
        <w:lastRenderedPageBreak/>
        <w:t>of the Student Union.  R</w:t>
      </w:r>
      <w:r w:rsidR="00111977" w:rsidRPr="008F2D46">
        <w:rPr>
          <w:rFonts w:ascii="Arial" w:hAnsi="Arial" w:cs="Arial"/>
          <w:sz w:val="22"/>
          <w:szCs w:val="22"/>
        </w:rPr>
        <w:t xml:space="preserve">epresentatives from </w:t>
      </w:r>
      <w:r w:rsidR="00E26ADC">
        <w:rPr>
          <w:rFonts w:ascii="Arial" w:hAnsi="Arial" w:cs="Arial"/>
          <w:sz w:val="22"/>
          <w:szCs w:val="22"/>
        </w:rPr>
        <w:t xml:space="preserve">ASMT, Faculty Senate, and </w:t>
      </w:r>
      <w:r w:rsidR="00E26ADC" w:rsidRPr="003E3FE2">
        <w:rPr>
          <w:rFonts w:ascii="Arial" w:hAnsi="Arial" w:cs="Arial"/>
          <w:sz w:val="22"/>
          <w:szCs w:val="22"/>
        </w:rPr>
        <w:t>RHA meets as needed</w:t>
      </w:r>
      <w:r w:rsidR="00AC4513" w:rsidRPr="003E3FE2">
        <w:rPr>
          <w:rFonts w:ascii="Arial" w:hAnsi="Arial" w:cs="Arial"/>
          <w:sz w:val="22"/>
          <w:szCs w:val="22"/>
        </w:rPr>
        <w:t xml:space="preserve"> </w:t>
      </w:r>
      <w:r w:rsidR="00E26ADC" w:rsidRPr="003E3FE2">
        <w:rPr>
          <w:rFonts w:ascii="Arial" w:hAnsi="Arial" w:cs="Arial"/>
          <w:sz w:val="22"/>
          <w:szCs w:val="22"/>
        </w:rPr>
        <w:t xml:space="preserve">with </w:t>
      </w:r>
      <w:r w:rsidR="00AC4513" w:rsidRPr="003E3FE2">
        <w:rPr>
          <w:rFonts w:ascii="Arial" w:hAnsi="Arial" w:cs="Arial"/>
          <w:sz w:val="22"/>
          <w:szCs w:val="22"/>
        </w:rPr>
        <w:t>the</w:t>
      </w:r>
      <w:r w:rsidR="003345CD" w:rsidRPr="003E3FE2">
        <w:rPr>
          <w:rFonts w:ascii="Arial" w:hAnsi="Arial" w:cs="Arial"/>
          <w:sz w:val="22"/>
          <w:szCs w:val="22"/>
        </w:rPr>
        <w:t xml:space="preserve"> Books</w:t>
      </w:r>
      <w:r w:rsidR="00021DCE" w:rsidRPr="003E3FE2">
        <w:rPr>
          <w:rFonts w:ascii="Arial" w:hAnsi="Arial" w:cs="Arial"/>
          <w:sz w:val="22"/>
          <w:szCs w:val="22"/>
        </w:rPr>
        <w:t>tore Advisory Committee</w:t>
      </w:r>
      <w:r w:rsidR="0029186F" w:rsidRPr="003E3FE2">
        <w:rPr>
          <w:rFonts w:ascii="Arial" w:hAnsi="Arial" w:cs="Arial"/>
          <w:sz w:val="22"/>
          <w:szCs w:val="22"/>
        </w:rPr>
        <w:t xml:space="preserve">.  </w:t>
      </w:r>
      <w:r w:rsidR="00547C09" w:rsidRPr="003E3FE2">
        <w:rPr>
          <w:rFonts w:ascii="Arial" w:hAnsi="Arial" w:cs="Arial"/>
          <w:sz w:val="22"/>
          <w:szCs w:val="22"/>
        </w:rPr>
        <w:t xml:space="preserve">Changes as a result of committee input </w:t>
      </w:r>
      <w:r w:rsidR="003345CD" w:rsidRPr="003E3FE2">
        <w:rPr>
          <w:rFonts w:ascii="Arial" w:hAnsi="Arial" w:cs="Arial"/>
          <w:sz w:val="22"/>
          <w:szCs w:val="22"/>
        </w:rPr>
        <w:t xml:space="preserve">include: </w:t>
      </w:r>
      <w:r w:rsidR="00547C09" w:rsidRPr="003E3FE2">
        <w:rPr>
          <w:rFonts w:ascii="Arial" w:hAnsi="Arial" w:cs="Arial"/>
          <w:sz w:val="22"/>
          <w:szCs w:val="22"/>
        </w:rPr>
        <w:t xml:space="preserve">a </w:t>
      </w:r>
      <w:r w:rsidR="003345CD" w:rsidRPr="003E3FE2">
        <w:rPr>
          <w:rFonts w:ascii="Arial" w:hAnsi="Arial" w:cs="Arial"/>
          <w:sz w:val="22"/>
          <w:szCs w:val="22"/>
        </w:rPr>
        <w:t>new Cash Register/Point of Sale/Inventory system (</w:t>
      </w:r>
      <w:r w:rsidR="009109AA" w:rsidRPr="003E3FE2">
        <w:rPr>
          <w:rFonts w:ascii="Arial" w:hAnsi="Arial" w:cs="Arial"/>
          <w:sz w:val="22"/>
          <w:szCs w:val="22"/>
        </w:rPr>
        <w:t>S</w:t>
      </w:r>
      <w:r w:rsidR="00547C09" w:rsidRPr="003E3FE2">
        <w:rPr>
          <w:rFonts w:ascii="Arial" w:hAnsi="Arial" w:cs="Arial"/>
          <w:sz w:val="22"/>
          <w:szCs w:val="22"/>
        </w:rPr>
        <w:t xml:space="preserve">pring 2009); the </w:t>
      </w:r>
      <w:r w:rsidR="003345CD" w:rsidRPr="003E3FE2">
        <w:rPr>
          <w:rFonts w:ascii="Arial" w:hAnsi="Arial" w:cs="Arial"/>
          <w:sz w:val="22"/>
          <w:szCs w:val="22"/>
        </w:rPr>
        <w:t xml:space="preserve">South Campus store merged </w:t>
      </w:r>
      <w:r w:rsidR="0029186F" w:rsidRPr="003E3FE2">
        <w:rPr>
          <w:rFonts w:ascii="Arial" w:hAnsi="Arial" w:cs="Arial"/>
          <w:sz w:val="22"/>
          <w:szCs w:val="22"/>
        </w:rPr>
        <w:t>with the North Campus</w:t>
      </w:r>
      <w:r w:rsidR="00547C09" w:rsidRPr="003E3FE2">
        <w:rPr>
          <w:rFonts w:ascii="Arial" w:hAnsi="Arial" w:cs="Arial"/>
          <w:sz w:val="22"/>
          <w:szCs w:val="22"/>
        </w:rPr>
        <w:t xml:space="preserve">; and </w:t>
      </w:r>
      <w:r w:rsidR="003D436D" w:rsidRPr="003E3FE2">
        <w:rPr>
          <w:rFonts w:ascii="Arial" w:hAnsi="Arial" w:cs="Arial"/>
          <w:sz w:val="22"/>
          <w:szCs w:val="22"/>
        </w:rPr>
        <w:t xml:space="preserve">an </w:t>
      </w:r>
      <w:r w:rsidR="00E26ADC" w:rsidRPr="003E3FE2">
        <w:rPr>
          <w:rFonts w:ascii="Arial" w:hAnsi="Arial" w:cs="Arial"/>
          <w:sz w:val="22"/>
          <w:szCs w:val="22"/>
        </w:rPr>
        <w:t>interactive Website for on</w:t>
      </w:r>
      <w:r w:rsidR="003345CD" w:rsidRPr="003E3FE2">
        <w:rPr>
          <w:rFonts w:ascii="Arial" w:hAnsi="Arial" w:cs="Arial"/>
          <w:sz w:val="22"/>
          <w:szCs w:val="22"/>
        </w:rPr>
        <w:t>line purchases.</w:t>
      </w:r>
      <w:r w:rsidR="00021DCE" w:rsidRPr="003E3FE2">
        <w:rPr>
          <w:rFonts w:ascii="Arial" w:hAnsi="Arial" w:cs="Arial"/>
          <w:sz w:val="22"/>
          <w:szCs w:val="22"/>
        </w:rPr>
        <w:t xml:space="preserve">  </w:t>
      </w:r>
      <w:r w:rsidR="009109AA" w:rsidRPr="003E3FE2">
        <w:rPr>
          <w:rFonts w:ascii="Arial" w:hAnsi="Arial" w:cs="Arial"/>
          <w:sz w:val="22"/>
          <w:szCs w:val="22"/>
        </w:rPr>
        <w:t>Figure</w:t>
      </w:r>
      <w:r w:rsidR="006C5871" w:rsidRPr="008F2D46">
        <w:rPr>
          <w:rFonts w:ascii="Arial" w:hAnsi="Arial" w:cs="Arial"/>
          <w:sz w:val="22"/>
          <w:szCs w:val="22"/>
        </w:rPr>
        <w:t xml:space="preserve"> 3.D.13</w:t>
      </w:r>
      <w:r w:rsidR="003A2408" w:rsidRPr="008F2D46">
        <w:rPr>
          <w:rFonts w:ascii="Arial" w:hAnsi="Arial" w:cs="Arial"/>
          <w:sz w:val="22"/>
          <w:szCs w:val="22"/>
        </w:rPr>
        <w:t xml:space="preserve"> depicts increased </w:t>
      </w:r>
      <w:r w:rsidR="008F2D46" w:rsidRPr="008F2D46">
        <w:rPr>
          <w:rFonts w:ascii="Arial" w:hAnsi="Arial" w:cs="Arial"/>
          <w:sz w:val="22"/>
          <w:szCs w:val="22"/>
        </w:rPr>
        <w:t xml:space="preserve">student </w:t>
      </w:r>
      <w:r w:rsidR="003A2408" w:rsidRPr="008F2D46">
        <w:rPr>
          <w:rFonts w:ascii="Arial" w:hAnsi="Arial" w:cs="Arial"/>
          <w:sz w:val="22"/>
          <w:szCs w:val="22"/>
        </w:rPr>
        <w:t xml:space="preserve">satisfaction </w:t>
      </w:r>
      <w:r w:rsidR="008F2D46" w:rsidRPr="008F2D46">
        <w:rPr>
          <w:rFonts w:ascii="Arial" w:hAnsi="Arial" w:cs="Arial"/>
          <w:sz w:val="22"/>
          <w:szCs w:val="22"/>
        </w:rPr>
        <w:t>with helpful</w:t>
      </w:r>
      <w:r w:rsidR="0081414D" w:rsidRPr="008F2D46">
        <w:rPr>
          <w:rFonts w:ascii="Arial" w:hAnsi="Arial" w:cs="Arial"/>
          <w:sz w:val="22"/>
          <w:szCs w:val="22"/>
        </w:rPr>
        <w:t xml:space="preserve"> Bookstore </w:t>
      </w:r>
      <w:r w:rsidR="008F2D46" w:rsidRPr="008F2D46">
        <w:rPr>
          <w:rFonts w:ascii="Arial" w:hAnsi="Arial" w:cs="Arial"/>
          <w:sz w:val="22"/>
          <w:szCs w:val="22"/>
        </w:rPr>
        <w:t>staff.</w:t>
      </w:r>
      <w:r w:rsidR="0014041F" w:rsidRPr="003A2408">
        <w:rPr>
          <w:rFonts w:ascii="Arial" w:hAnsi="Arial" w:cs="Arial"/>
          <w:sz w:val="22"/>
          <w:szCs w:val="22"/>
        </w:rPr>
        <w:t xml:space="preserve"> </w:t>
      </w:r>
    </w:p>
    <w:p w:rsidR="00154BC8" w:rsidRDefault="00154BC8" w:rsidP="001B4D6A">
      <w:pPr>
        <w:jc w:val="center"/>
        <w:rPr>
          <w:rFonts w:ascii="Arial" w:hAnsi="Arial" w:cs="Arial"/>
          <w:b/>
          <w:sz w:val="22"/>
          <w:szCs w:val="22"/>
        </w:rPr>
      </w:pPr>
    </w:p>
    <w:p w:rsidR="001461B9" w:rsidRDefault="00A13A5C" w:rsidP="001B4D6A">
      <w:pPr>
        <w:jc w:val="center"/>
        <w:rPr>
          <w:rFonts w:ascii="Arial" w:hAnsi="Arial" w:cs="Arial"/>
          <w:sz w:val="22"/>
          <w:szCs w:val="22"/>
        </w:rPr>
      </w:pPr>
      <w:r w:rsidRPr="00A13A5C">
        <w:rPr>
          <w:noProof/>
          <w:szCs w:val="22"/>
          <w:lang w:eastAsia="en-US"/>
        </w:rPr>
        <w:drawing>
          <wp:inline distT="0" distB="0" distL="0" distR="0">
            <wp:extent cx="4687910" cy="3200400"/>
            <wp:effectExtent l="0" t="0" r="0" b="0"/>
            <wp:docPr id="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7"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F76778" w:rsidRDefault="00F76778" w:rsidP="001B4D6A">
      <w:pPr>
        <w:rPr>
          <w:rFonts w:ascii="Arial" w:hAnsi="Arial" w:cs="Arial"/>
          <w:b/>
          <w:sz w:val="22"/>
          <w:szCs w:val="22"/>
        </w:rPr>
      </w:pPr>
    </w:p>
    <w:p w:rsidR="008F2D46" w:rsidRDefault="008F2D46" w:rsidP="001B4D6A">
      <w:pPr>
        <w:jc w:val="center"/>
        <w:rPr>
          <w:rFonts w:ascii="Arial" w:hAnsi="Arial" w:cs="Arial"/>
          <w:sz w:val="22"/>
          <w:szCs w:val="22"/>
        </w:rPr>
      </w:pPr>
      <w:r>
        <w:rPr>
          <w:rFonts w:ascii="Arial" w:hAnsi="Arial" w:cs="Arial"/>
          <w:b/>
          <w:sz w:val="22"/>
          <w:szCs w:val="22"/>
        </w:rPr>
        <w:t>Figure 3.D.13:  Helpful Bookstore Staff</w:t>
      </w:r>
    </w:p>
    <w:p w:rsidR="00F76778" w:rsidRDefault="00F76778" w:rsidP="001B4D6A">
      <w:pPr>
        <w:rPr>
          <w:rFonts w:ascii="Arial" w:hAnsi="Arial" w:cs="Arial"/>
          <w:b/>
          <w:sz w:val="22"/>
          <w:szCs w:val="22"/>
        </w:rPr>
      </w:pPr>
    </w:p>
    <w:p w:rsidR="00CB2DD3" w:rsidRDefault="009A392B" w:rsidP="001B4D6A">
      <w:pPr>
        <w:rPr>
          <w:rFonts w:ascii="Arial" w:hAnsi="Arial" w:cs="Arial"/>
          <w:b/>
          <w:sz w:val="22"/>
          <w:szCs w:val="22"/>
        </w:rPr>
      </w:pPr>
      <w:r>
        <w:rPr>
          <w:rFonts w:ascii="Arial" w:hAnsi="Arial" w:cs="Arial"/>
          <w:b/>
          <w:sz w:val="22"/>
          <w:szCs w:val="22"/>
        </w:rPr>
        <w:t>3.D.19</w:t>
      </w:r>
      <w:r>
        <w:rPr>
          <w:rFonts w:ascii="Arial" w:hAnsi="Arial" w:cs="Arial"/>
          <w:b/>
          <w:sz w:val="22"/>
          <w:szCs w:val="22"/>
        </w:rPr>
        <w:tab/>
      </w:r>
      <w:r w:rsidR="00CB2DD3" w:rsidRPr="00CB2DD3">
        <w:rPr>
          <w:rFonts w:ascii="Arial" w:hAnsi="Arial" w:cs="Arial"/>
          <w:b/>
          <w:sz w:val="22"/>
          <w:szCs w:val="22"/>
        </w:rPr>
        <w:t>When student media exist, the institution provides for a clearly defined and published policy of the institution’s relationship to student publications and other media.</w:t>
      </w:r>
    </w:p>
    <w:p w:rsidR="00C41932" w:rsidRDefault="00C41932" w:rsidP="001B4D6A">
      <w:pPr>
        <w:rPr>
          <w:rFonts w:ascii="Arial" w:hAnsi="Arial" w:cs="Arial"/>
          <w:b/>
          <w:sz w:val="22"/>
          <w:szCs w:val="22"/>
        </w:rPr>
      </w:pPr>
    </w:p>
    <w:p w:rsidR="002B61E1" w:rsidRPr="00E3697E" w:rsidRDefault="00E3697E" w:rsidP="001B4D6A">
      <w:pPr>
        <w:rPr>
          <w:rFonts w:ascii="Arial" w:hAnsi="Arial" w:cs="Arial"/>
          <w:sz w:val="22"/>
          <w:szCs w:val="22"/>
        </w:rPr>
      </w:pPr>
      <w:r w:rsidRPr="00E3697E">
        <w:rPr>
          <w:rFonts w:ascii="Arial" w:hAnsi="Arial" w:cs="Arial"/>
          <w:sz w:val="22"/>
          <w:szCs w:val="22"/>
        </w:rPr>
        <w:t xml:space="preserve">The Publications Board </w:t>
      </w:r>
      <w:r w:rsidR="007943C8">
        <w:rPr>
          <w:rFonts w:ascii="Arial" w:hAnsi="Arial" w:cs="Arial"/>
          <w:sz w:val="22"/>
          <w:szCs w:val="22"/>
        </w:rPr>
        <w:t xml:space="preserve">is an ASMT </w:t>
      </w:r>
      <w:r w:rsidRPr="00E3697E">
        <w:rPr>
          <w:rFonts w:ascii="Arial" w:hAnsi="Arial" w:cs="Arial"/>
          <w:sz w:val="22"/>
          <w:szCs w:val="22"/>
        </w:rPr>
        <w:t xml:space="preserve">appointed and </w:t>
      </w:r>
      <w:r w:rsidRPr="00853E96">
        <w:rPr>
          <w:rFonts w:ascii="Arial" w:hAnsi="Arial" w:cs="Arial"/>
          <w:sz w:val="22"/>
          <w:szCs w:val="22"/>
        </w:rPr>
        <w:t>approved committee.  The ASMT President, Vice President, and Treasurer serve on the Publications Board along with two appointed senators, the editor of the campus newspaper</w:t>
      </w:r>
      <w:r w:rsidR="008F2D46">
        <w:rPr>
          <w:rFonts w:ascii="Arial" w:hAnsi="Arial" w:cs="Arial"/>
          <w:sz w:val="22"/>
          <w:szCs w:val="22"/>
        </w:rPr>
        <w:t xml:space="preserve"> (</w:t>
      </w:r>
      <w:r w:rsidRPr="00853E96">
        <w:rPr>
          <w:rFonts w:ascii="Arial" w:hAnsi="Arial" w:cs="Arial"/>
          <w:i/>
          <w:iCs/>
          <w:sz w:val="22"/>
          <w:szCs w:val="22"/>
        </w:rPr>
        <w:t>Technocrat</w:t>
      </w:r>
      <w:r w:rsidR="008F2D46">
        <w:rPr>
          <w:rFonts w:ascii="Arial" w:hAnsi="Arial" w:cs="Arial"/>
          <w:i/>
          <w:iCs/>
          <w:sz w:val="22"/>
          <w:szCs w:val="22"/>
        </w:rPr>
        <w:t>)</w:t>
      </w:r>
      <w:r w:rsidRPr="00853E96">
        <w:rPr>
          <w:rFonts w:ascii="Arial" w:hAnsi="Arial" w:cs="Arial"/>
          <w:i/>
          <w:iCs/>
          <w:sz w:val="22"/>
          <w:szCs w:val="22"/>
        </w:rPr>
        <w:t>,</w:t>
      </w:r>
      <w:r w:rsidRPr="00853E96">
        <w:rPr>
          <w:rFonts w:ascii="Arial" w:hAnsi="Arial" w:cs="Arial"/>
          <w:sz w:val="22"/>
          <w:szCs w:val="22"/>
        </w:rPr>
        <w:t xml:space="preserve"> and the manager of </w:t>
      </w:r>
      <w:r w:rsidR="002F79C3">
        <w:rPr>
          <w:rFonts w:ascii="Arial" w:hAnsi="Arial" w:cs="Arial"/>
          <w:sz w:val="22"/>
          <w:szCs w:val="22"/>
        </w:rPr>
        <w:t xml:space="preserve">the </w:t>
      </w:r>
      <w:r w:rsidRPr="00853E96">
        <w:rPr>
          <w:rFonts w:ascii="Arial" w:hAnsi="Arial" w:cs="Arial"/>
          <w:sz w:val="22"/>
          <w:szCs w:val="22"/>
        </w:rPr>
        <w:t xml:space="preserve">campus radio </w:t>
      </w:r>
      <w:r w:rsidRPr="008F2D46">
        <w:rPr>
          <w:rFonts w:ascii="Arial" w:hAnsi="Arial" w:cs="Arial"/>
          <w:sz w:val="22"/>
          <w:szCs w:val="22"/>
        </w:rPr>
        <w:t xml:space="preserve">station </w:t>
      </w:r>
      <w:r w:rsidR="008F2D46" w:rsidRPr="008F2D46">
        <w:rPr>
          <w:rFonts w:ascii="Arial" w:hAnsi="Arial" w:cs="Arial"/>
          <w:sz w:val="22"/>
          <w:szCs w:val="22"/>
        </w:rPr>
        <w:t>(</w:t>
      </w:r>
      <w:r w:rsidRPr="008F2D46">
        <w:rPr>
          <w:rFonts w:ascii="Arial" w:hAnsi="Arial" w:cs="Arial"/>
          <w:i/>
          <w:sz w:val="22"/>
          <w:szCs w:val="22"/>
        </w:rPr>
        <w:t>KMSM</w:t>
      </w:r>
      <w:r w:rsidR="00284C26" w:rsidRPr="008F2D46">
        <w:rPr>
          <w:rFonts w:ascii="Arial" w:hAnsi="Arial" w:cs="Arial"/>
          <w:i/>
          <w:sz w:val="22"/>
          <w:szCs w:val="22"/>
        </w:rPr>
        <w:t xml:space="preserve"> 107.1FM</w:t>
      </w:r>
      <w:r w:rsidR="00284C26" w:rsidRPr="008F2D46">
        <w:rPr>
          <w:rFonts w:ascii="Arial" w:hAnsi="Arial" w:cs="Arial"/>
          <w:sz w:val="22"/>
          <w:szCs w:val="22"/>
        </w:rPr>
        <w:t>)</w:t>
      </w:r>
      <w:r w:rsidRPr="008F2D46">
        <w:rPr>
          <w:rFonts w:ascii="Arial" w:hAnsi="Arial" w:cs="Arial"/>
          <w:sz w:val="22"/>
          <w:szCs w:val="22"/>
        </w:rPr>
        <w:t xml:space="preserve">. The </w:t>
      </w:r>
      <w:r w:rsidR="00DD4A93">
        <w:rPr>
          <w:rFonts w:ascii="Arial" w:hAnsi="Arial" w:cs="Arial"/>
          <w:sz w:val="22"/>
          <w:szCs w:val="22"/>
        </w:rPr>
        <w:t>Publication (</w:t>
      </w:r>
      <w:r w:rsidRPr="008F2D46">
        <w:rPr>
          <w:rFonts w:ascii="Arial" w:hAnsi="Arial" w:cs="Arial"/>
          <w:sz w:val="22"/>
          <w:szCs w:val="22"/>
        </w:rPr>
        <w:t>Pub</w:t>
      </w:r>
      <w:r w:rsidR="00DD4A93">
        <w:rPr>
          <w:rFonts w:ascii="Arial" w:hAnsi="Arial" w:cs="Arial"/>
          <w:sz w:val="22"/>
          <w:szCs w:val="22"/>
        </w:rPr>
        <w:t>)</w:t>
      </w:r>
      <w:r w:rsidRPr="008F2D46">
        <w:rPr>
          <w:rFonts w:ascii="Arial" w:hAnsi="Arial" w:cs="Arial"/>
          <w:sz w:val="22"/>
          <w:szCs w:val="22"/>
        </w:rPr>
        <w:t xml:space="preserve"> Board monitors a</w:t>
      </w:r>
      <w:r w:rsidR="008F2D46" w:rsidRPr="008F2D46">
        <w:rPr>
          <w:rFonts w:ascii="Arial" w:hAnsi="Arial" w:cs="Arial"/>
          <w:sz w:val="22"/>
          <w:szCs w:val="22"/>
        </w:rPr>
        <w:t>nd regulates the student-</w:t>
      </w:r>
      <w:r w:rsidRPr="008F2D46">
        <w:rPr>
          <w:rFonts w:ascii="Arial" w:hAnsi="Arial" w:cs="Arial"/>
          <w:sz w:val="22"/>
          <w:szCs w:val="22"/>
        </w:rPr>
        <w:t>run media services</w:t>
      </w:r>
      <w:r w:rsidR="008F2D46" w:rsidRPr="008F2D46">
        <w:rPr>
          <w:rFonts w:ascii="Arial" w:hAnsi="Arial" w:cs="Arial"/>
          <w:sz w:val="22"/>
          <w:szCs w:val="22"/>
        </w:rPr>
        <w:t>, thereby</w:t>
      </w:r>
      <w:r w:rsidRPr="008F2D46">
        <w:rPr>
          <w:rFonts w:ascii="Arial" w:hAnsi="Arial" w:cs="Arial"/>
          <w:sz w:val="22"/>
          <w:szCs w:val="22"/>
        </w:rPr>
        <w:t xml:space="preserve"> confirming </w:t>
      </w:r>
      <w:r w:rsidR="008F2D46">
        <w:rPr>
          <w:rFonts w:ascii="Arial" w:hAnsi="Arial" w:cs="Arial"/>
          <w:sz w:val="22"/>
          <w:szCs w:val="22"/>
        </w:rPr>
        <w:t xml:space="preserve">that </w:t>
      </w:r>
      <w:r w:rsidRPr="008F2D46">
        <w:rPr>
          <w:rFonts w:ascii="Arial" w:hAnsi="Arial" w:cs="Arial"/>
          <w:sz w:val="22"/>
          <w:szCs w:val="22"/>
        </w:rPr>
        <w:t>First Amendment policies are routinely reviewed to ensure proper and ethical applications. Montana Tech students serve in the majority n</w:t>
      </w:r>
      <w:r w:rsidR="00A13527" w:rsidRPr="008F2D46">
        <w:rPr>
          <w:rFonts w:ascii="Arial" w:hAnsi="Arial" w:cs="Arial"/>
          <w:sz w:val="22"/>
          <w:szCs w:val="22"/>
        </w:rPr>
        <w:t>umber on the Publications Board</w:t>
      </w:r>
      <w:r w:rsidR="0029186F">
        <w:rPr>
          <w:rFonts w:ascii="Arial" w:hAnsi="Arial" w:cs="Arial"/>
          <w:sz w:val="22"/>
          <w:szCs w:val="22"/>
        </w:rPr>
        <w:t>.</w:t>
      </w:r>
      <w:r w:rsidRPr="008F2D46">
        <w:rPr>
          <w:rFonts w:ascii="Arial" w:hAnsi="Arial" w:cs="Arial"/>
          <w:sz w:val="22"/>
          <w:szCs w:val="22"/>
        </w:rPr>
        <w:t xml:space="preserve"> </w:t>
      </w:r>
      <w:r w:rsidR="00E26ADC">
        <w:rPr>
          <w:rFonts w:ascii="Arial" w:hAnsi="Arial" w:cs="Arial"/>
          <w:sz w:val="22"/>
          <w:szCs w:val="22"/>
        </w:rPr>
        <w:t>(S</w:t>
      </w:r>
      <w:r w:rsidR="008F2D46" w:rsidRPr="008F2D46">
        <w:rPr>
          <w:rFonts w:ascii="Arial" w:hAnsi="Arial" w:cs="Arial"/>
          <w:sz w:val="22"/>
          <w:szCs w:val="22"/>
        </w:rPr>
        <w:t xml:space="preserve">ee </w:t>
      </w:r>
      <w:r w:rsidR="009771F2" w:rsidRPr="00076963">
        <w:rPr>
          <w:rFonts w:ascii="Arial" w:hAnsi="Arial" w:cs="Arial"/>
          <w:sz w:val="22"/>
          <w:szCs w:val="22"/>
        </w:rPr>
        <w:t>Exhibit 3.D</w:t>
      </w:r>
      <w:r w:rsidR="00076963" w:rsidRPr="00076963">
        <w:rPr>
          <w:rFonts w:ascii="Arial" w:hAnsi="Arial" w:cs="Arial"/>
          <w:sz w:val="22"/>
          <w:szCs w:val="22"/>
        </w:rPr>
        <w:t>.X</w:t>
      </w:r>
      <w:r w:rsidR="009771F2" w:rsidRPr="00076963">
        <w:rPr>
          <w:rFonts w:ascii="Arial" w:hAnsi="Arial" w:cs="Arial"/>
          <w:sz w:val="22"/>
          <w:szCs w:val="22"/>
        </w:rPr>
        <w:t>II</w:t>
      </w:r>
      <w:r w:rsidR="00076963" w:rsidRPr="00076963">
        <w:rPr>
          <w:rFonts w:ascii="Arial" w:hAnsi="Arial" w:cs="Arial"/>
          <w:sz w:val="22"/>
          <w:szCs w:val="22"/>
        </w:rPr>
        <w:t>:</w:t>
      </w:r>
      <w:r w:rsidR="00B956B1" w:rsidRPr="00076963">
        <w:rPr>
          <w:rFonts w:ascii="Arial" w:hAnsi="Arial" w:cs="Arial"/>
          <w:sz w:val="22"/>
          <w:szCs w:val="22"/>
        </w:rPr>
        <w:t xml:space="preserve"> </w:t>
      </w:r>
      <w:r w:rsidR="00B956B1" w:rsidRPr="00076963">
        <w:rPr>
          <w:rFonts w:ascii="Arial" w:hAnsi="Arial" w:cs="Arial"/>
          <w:i/>
          <w:sz w:val="22"/>
          <w:szCs w:val="22"/>
          <w:u w:val="single"/>
        </w:rPr>
        <w:t>Campus Newspaper</w:t>
      </w:r>
      <w:r w:rsidR="002F1F68">
        <w:rPr>
          <w:rFonts w:ascii="Arial" w:hAnsi="Arial" w:cs="Arial"/>
          <w:i/>
          <w:sz w:val="22"/>
          <w:szCs w:val="22"/>
          <w:u w:val="single"/>
        </w:rPr>
        <w:t xml:space="preserve"> – Technocrat</w:t>
      </w:r>
      <w:r w:rsidR="008F2D46" w:rsidRPr="00076963">
        <w:rPr>
          <w:rFonts w:ascii="Arial" w:hAnsi="Arial" w:cs="Arial"/>
          <w:i/>
          <w:sz w:val="22"/>
          <w:szCs w:val="22"/>
          <w:u w:val="single"/>
        </w:rPr>
        <w:t>.</w:t>
      </w:r>
      <w:r w:rsidR="00B956B1" w:rsidRPr="00076963">
        <w:rPr>
          <w:rFonts w:ascii="Arial" w:hAnsi="Arial" w:cs="Arial"/>
          <w:sz w:val="22"/>
          <w:szCs w:val="22"/>
        </w:rPr>
        <w:t>)</w:t>
      </w:r>
    </w:p>
    <w:p w:rsidR="0040355C" w:rsidRDefault="0040355C" w:rsidP="001B4D6A">
      <w:pPr>
        <w:pStyle w:val="ListParagraph"/>
        <w:ind w:left="0"/>
        <w:rPr>
          <w:sz w:val="22"/>
          <w:szCs w:val="22"/>
        </w:rPr>
      </w:pPr>
    </w:p>
    <w:p w:rsidR="00611EDF" w:rsidRPr="008E7A5E" w:rsidRDefault="00611EDF" w:rsidP="001B4D6A">
      <w:pPr>
        <w:rPr>
          <w:rFonts w:ascii="Arial" w:eastAsia="Times New Roman" w:hAnsi="Arial" w:cs="Arial"/>
          <w:b/>
          <w:bCs/>
          <w:i/>
          <w:sz w:val="28"/>
          <w:szCs w:val="28"/>
        </w:rPr>
      </w:pPr>
      <w:r w:rsidRPr="008E7A5E">
        <w:rPr>
          <w:rFonts w:ascii="Arial" w:eastAsia="Times New Roman" w:hAnsi="Arial" w:cs="Arial"/>
          <w:b/>
          <w:bCs/>
          <w:i/>
          <w:sz w:val="28"/>
          <w:szCs w:val="28"/>
        </w:rPr>
        <w:t>Standard 3.E – Intercollegiate Athletics</w:t>
      </w:r>
    </w:p>
    <w:p w:rsidR="00FF10C9" w:rsidRDefault="00FF10C9" w:rsidP="001B4D6A">
      <w:pPr>
        <w:rPr>
          <w:rFonts w:ascii="Arial" w:eastAsia="Times New Roman" w:hAnsi="Arial" w:cs="Arial"/>
          <w:b/>
          <w:bCs/>
          <w:sz w:val="22"/>
          <w:szCs w:val="22"/>
        </w:rPr>
      </w:pPr>
    </w:p>
    <w:p w:rsidR="00FF10C9" w:rsidRDefault="00FF10C9" w:rsidP="001B4D6A">
      <w:pPr>
        <w:rPr>
          <w:rFonts w:ascii="Arial" w:eastAsia="Times New Roman" w:hAnsi="Arial" w:cs="Arial"/>
          <w:b/>
          <w:bCs/>
          <w:sz w:val="22"/>
          <w:szCs w:val="22"/>
        </w:rPr>
      </w:pPr>
      <w:r>
        <w:rPr>
          <w:rFonts w:ascii="Arial" w:eastAsia="Times New Roman" w:hAnsi="Arial" w:cs="Arial"/>
          <w:b/>
          <w:bCs/>
          <w:sz w:val="22"/>
          <w:szCs w:val="22"/>
        </w:rPr>
        <w:t xml:space="preserve">If the institution participates in intercollegiate athletics, these programs and financial operations are consistent with the </w:t>
      </w:r>
      <w:r w:rsidR="009B0BD5">
        <w:rPr>
          <w:rFonts w:ascii="Arial" w:eastAsia="Times New Roman" w:hAnsi="Arial" w:cs="Arial"/>
          <w:b/>
          <w:bCs/>
          <w:sz w:val="22"/>
          <w:szCs w:val="22"/>
        </w:rPr>
        <w:t>educational</w:t>
      </w:r>
      <w:r>
        <w:rPr>
          <w:rFonts w:ascii="Arial" w:eastAsia="Times New Roman" w:hAnsi="Arial" w:cs="Arial"/>
          <w:b/>
          <w:bCs/>
          <w:sz w:val="22"/>
          <w:szCs w:val="22"/>
        </w:rPr>
        <w:t xml:space="preserve"> mission and goals of the institution and are conducted with appropriate </w:t>
      </w:r>
      <w:r w:rsidR="009B0BD5">
        <w:rPr>
          <w:rFonts w:ascii="Arial" w:eastAsia="Times New Roman" w:hAnsi="Arial" w:cs="Arial"/>
          <w:b/>
          <w:bCs/>
          <w:sz w:val="22"/>
          <w:szCs w:val="22"/>
        </w:rPr>
        <w:t>oversight</w:t>
      </w:r>
      <w:r>
        <w:rPr>
          <w:rFonts w:ascii="Arial" w:eastAsia="Times New Roman" w:hAnsi="Arial" w:cs="Arial"/>
          <w:b/>
          <w:bCs/>
          <w:sz w:val="22"/>
          <w:szCs w:val="22"/>
        </w:rPr>
        <w:t xml:space="preserve"> by the governing </w:t>
      </w:r>
      <w:r w:rsidR="009B0BD5">
        <w:rPr>
          <w:rFonts w:ascii="Arial" w:eastAsia="Times New Roman" w:hAnsi="Arial" w:cs="Arial"/>
          <w:b/>
          <w:bCs/>
          <w:sz w:val="22"/>
          <w:szCs w:val="22"/>
        </w:rPr>
        <w:t>board</w:t>
      </w:r>
      <w:r>
        <w:rPr>
          <w:rFonts w:ascii="Arial" w:eastAsia="Times New Roman" w:hAnsi="Arial" w:cs="Arial"/>
          <w:b/>
          <w:bCs/>
          <w:sz w:val="22"/>
          <w:szCs w:val="22"/>
        </w:rPr>
        <w:t>, chief executive officer and faculty.</w:t>
      </w:r>
    </w:p>
    <w:p w:rsidR="00611EDF" w:rsidRDefault="00611EDF" w:rsidP="001B4D6A">
      <w:pPr>
        <w:rPr>
          <w:rFonts w:ascii="Arial" w:eastAsia="Times New Roman" w:hAnsi="Arial" w:cs="Arial"/>
          <w:b/>
          <w:bCs/>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3.E.1   Institutional control is exercised through the governing board’s periodic review of its comprehensive statement of philosophy, goals, and objectives for intercollegiate athletics. The program is evaluated regularly and systematically to ensure that it is an integral part of the education of athletes and is in keeping with the educational mission of the institution.</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lastRenderedPageBreak/>
        <w:t>Montana Tech’s Athletic Committee is comprised of faculty, staff</w:t>
      </w:r>
      <w:r w:rsidR="00E26ADC">
        <w:rPr>
          <w:rFonts w:ascii="Arial" w:eastAsia="Times New Roman" w:hAnsi="Arial" w:cs="Arial"/>
          <w:sz w:val="22"/>
          <w:szCs w:val="22"/>
        </w:rPr>
        <w:t>,</w:t>
      </w:r>
      <w:r w:rsidRPr="00603EC4">
        <w:rPr>
          <w:rFonts w:ascii="Arial" w:eastAsia="Times New Roman" w:hAnsi="Arial" w:cs="Arial"/>
          <w:sz w:val="22"/>
          <w:szCs w:val="22"/>
        </w:rPr>
        <w:t xml:space="preserve"> and administration.  This committee meets quarterly and reviews coaches’ evaluations and sets policy for athletics.  </w:t>
      </w:r>
      <w:r w:rsidR="002F79C3">
        <w:rPr>
          <w:rFonts w:ascii="Arial" w:eastAsia="Times New Roman" w:hAnsi="Arial" w:cs="Arial"/>
          <w:sz w:val="22"/>
          <w:szCs w:val="22"/>
        </w:rPr>
        <w:t>The</w:t>
      </w:r>
      <w:r w:rsidRPr="00603EC4">
        <w:rPr>
          <w:rFonts w:ascii="Arial" w:eastAsia="Times New Roman" w:hAnsi="Arial" w:cs="Arial"/>
          <w:sz w:val="22"/>
          <w:szCs w:val="22"/>
        </w:rPr>
        <w:t xml:space="preserve"> committee’s p</w:t>
      </w:r>
      <w:r w:rsidR="00E26ADC">
        <w:rPr>
          <w:rFonts w:ascii="Arial" w:eastAsia="Times New Roman" w:hAnsi="Arial" w:cs="Arial"/>
          <w:sz w:val="22"/>
          <w:szCs w:val="22"/>
        </w:rPr>
        <w:t>riority is to develop a student-</w:t>
      </w:r>
      <w:r w:rsidRPr="00603EC4">
        <w:rPr>
          <w:rFonts w:ascii="Arial" w:eastAsia="Times New Roman" w:hAnsi="Arial" w:cs="Arial"/>
          <w:sz w:val="22"/>
          <w:szCs w:val="22"/>
        </w:rPr>
        <w:t>athlete handbook to better communicate what Montana Tech</w:t>
      </w:r>
      <w:r w:rsidR="00E26ADC">
        <w:rPr>
          <w:rFonts w:ascii="Arial" w:eastAsia="Times New Roman" w:hAnsi="Arial" w:cs="Arial"/>
          <w:sz w:val="22"/>
          <w:szCs w:val="22"/>
        </w:rPr>
        <w:t xml:space="preserve"> expects from its student-</w:t>
      </w:r>
      <w:r w:rsidRPr="00603EC4">
        <w:rPr>
          <w:rFonts w:ascii="Arial" w:eastAsia="Times New Roman" w:hAnsi="Arial" w:cs="Arial"/>
          <w:sz w:val="22"/>
          <w:szCs w:val="22"/>
        </w:rPr>
        <w:t>athletes.  At Montana Tech, student comes before athlete, and our goal is to compete for championships with students t</w:t>
      </w:r>
      <w:r w:rsidR="008E7A5E">
        <w:rPr>
          <w:rFonts w:ascii="Arial" w:eastAsia="Times New Roman" w:hAnsi="Arial" w:cs="Arial"/>
          <w:sz w:val="22"/>
          <w:szCs w:val="22"/>
        </w:rPr>
        <w:t>hat graduate.  The motto</w:t>
      </w:r>
      <w:r w:rsidRPr="00603EC4">
        <w:rPr>
          <w:rFonts w:ascii="Arial" w:eastAsia="Times New Roman" w:hAnsi="Arial" w:cs="Arial"/>
          <w:sz w:val="22"/>
          <w:szCs w:val="22"/>
        </w:rPr>
        <w:t xml:space="preserve"> created for our student athletes is </w:t>
      </w:r>
      <w:r w:rsidRPr="00603EC4">
        <w:rPr>
          <w:rFonts w:ascii="Arial" w:eastAsia="Times New Roman" w:hAnsi="Arial" w:cs="Arial"/>
          <w:i/>
          <w:sz w:val="22"/>
          <w:szCs w:val="22"/>
        </w:rPr>
        <w:t>students, leaders, champions</w:t>
      </w:r>
      <w:r w:rsidRPr="00603EC4">
        <w:rPr>
          <w:rFonts w:ascii="Arial" w:eastAsia="Times New Roman" w:hAnsi="Arial" w:cs="Arial"/>
          <w:sz w:val="22"/>
          <w:szCs w:val="22"/>
        </w:rPr>
        <w:t xml:space="preserve">.  </w:t>
      </w:r>
    </w:p>
    <w:p w:rsidR="00076963" w:rsidRDefault="00076963"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The Athletic Director reports directly to the Chancellor and both strive to ensure that the entire athletic program enhances the mission of the institution.  The Athletic Department’s policies and procedures are evaluated by the Chancellor every year.  The Chancellor will review coaches’ performance, graduation rates, community involvement, student-athlete experience, and fiscal prudency.</w:t>
      </w:r>
    </w:p>
    <w:p w:rsidR="00076963" w:rsidRDefault="00076963"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Montana Tech is an active and contributory member of the Frontier Conference of the National Association of Intercollegiate Athletics (NAIA) and fully complies with the rules, regulations</w:t>
      </w:r>
      <w:r w:rsidR="00E26ADC">
        <w:rPr>
          <w:rFonts w:ascii="Arial" w:eastAsia="Times New Roman" w:hAnsi="Arial" w:cs="Arial"/>
          <w:sz w:val="22"/>
          <w:szCs w:val="22"/>
        </w:rPr>
        <w:t>,</w:t>
      </w:r>
      <w:r w:rsidRPr="00603EC4">
        <w:rPr>
          <w:rFonts w:ascii="Arial" w:eastAsia="Times New Roman" w:hAnsi="Arial" w:cs="Arial"/>
          <w:sz w:val="22"/>
          <w:szCs w:val="22"/>
        </w:rPr>
        <w:t xml:space="preserve"> and policies of both governing bodies.</w:t>
      </w:r>
    </w:p>
    <w:p w:rsidR="00603EC4" w:rsidRDefault="00603EC4" w:rsidP="001B4D6A">
      <w:pPr>
        <w:rPr>
          <w:rFonts w:ascii="Arial" w:eastAsia="Times New Roman" w:hAnsi="Arial" w:cs="Arial"/>
          <w:b/>
          <w:bCs/>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3.E.2   The goals and objectives of the intercollegiate athletic program, as well as institutional expectations of staff members,</w:t>
      </w:r>
      <w:r w:rsidRPr="00603EC4">
        <w:rPr>
          <w:rFonts w:ascii="Arial" w:eastAsia="Times New Roman" w:hAnsi="Arial" w:cs="Arial"/>
          <w:sz w:val="22"/>
          <w:szCs w:val="22"/>
        </w:rPr>
        <w:t xml:space="preserve"> </w:t>
      </w:r>
      <w:r w:rsidRPr="00603EC4">
        <w:rPr>
          <w:rFonts w:ascii="Arial" w:eastAsia="Times New Roman" w:hAnsi="Arial" w:cs="Arial"/>
          <w:b/>
          <w:bCs/>
          <w:sz w:val="22"/>
          <w:szCs w:val="22"/>
        </w:rPr>
        <w:t>are provided in writing to candidates for athletic staff positions. Policies and rules concerning intercollegiate athletics are reviewed, at least annually, by athletics administrators and all head and assistant coaches. The duties and authority of the director of athletics, faculty committee on athletics, and others involved in athletics policy-making and program management are stated explicitly in writing.</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w:t>
      </w:r>
    </w:p>
    <w:p w:rsidR="00603EC4" w:rsidRDefault="00603EC4" w:rsidP="001B4D6A">
      <w:pPr>
        <w:rPr>
          <w:rFonts w:ascii="Arial" w:eastAsia="Times New Roman" w:hAnsi="Arial" w:cs="Arial"/>
          <w:sz w:val="22"/>
          <w:szCs w:val="22"/>
        </w:rPr>
      </w:pPr>
      <w:r w:rsidRPr="00603EC4">
        <w:rPr>
          <w:rFonts w:ascii="Arial" w:eastAsia="Times New Roman" w:hAnsi="Arial" w:cs="Arial"/>
          <w:sz w:val="22"/>
          <w:szCs w:val="22"/>
        </w:rPr>
        <w:t>Montana Tech Athletics has a clear mission and vision statement that outline the goals and objectives for all involved.</w:t>
      </w:r>
    </w:p>
    <w:p w:rsidR="000F73D1" w:rsidRPr="00603EC4" w:rsidRDefault="000F73D1" w:rsidP="001B4D6A">
      <w:pPr>
        <w:rPr>
          <w:rFonts w:ascii="Arial" w:eastAsia="Times New Roman" w:hAnsi="Arial" w:cs="Arial"/>
          <w:sz w:val="22"/>
          <w:szCs w:val="22"/>
        </w:rPr>
      </w:pPr>
    </w:p>
    <w:p w:rsidR="00603EC4" w:rsidRDefault="00603EC4" w:rsidP="001B4D6A">
      <w:pPr>
        <w:rPr>
          <w:rFonts w:ascii="Arial" w:eastAsia="Times New Roman" w:hAnsi="Arial" w:cs="Arial"/>
          <w:sz w:val="22"/>
          <w:szCs w:val="22"/>
        </w:rPr>
      </w:pPr>
      <w:r w:rsidRPr="00603EC4">
        <w:rPr>
          <w:rFonts w:ascii="Arial" w:eastAsia="Times New Roman" w:hAnsi="Arial" w:cs="Arial"/>
          <w:b/>
          <w:sz w:val="22"/>
          <w:szCs w:val="22"/>
        </w:rPr>
        <w:t>FIRST CHOICE VISION</w:t>
      </w:r>
      <w:r w:rsidRPr="00603EC4">
        <w:rPr>
          <w:rFonts w:ascii="Arial" w:eastAsia="Times New Roman" w:hAnsi="Arial" w:cs="Arial"/>
          <w:sz w:val="22"/>
          <w:szCs w:val="22"/>
        </w:rPr>
        <w:t xml:space="preserve">:  We strive to be the </w:t>
      </w:r>
      <w:r w:rsidRPr="00603EC4">
        <w:rPr>
          <w:rFonts w:ascii="Arial" w:eastAsia="Times New Roman" w:hAnsi="Arial" w:cs="Arial"/>
          <w:i/>
          <w:sz w:val="22"/>
          <w:szCs w:val="22"/>
        </w:rPr>
        <w:t>First Choice</w:t>
      </w:r>
      <w:r w:rsidR="00E26ADC">
        <w:rPr>
          <w:rFonts w:ascii="Arial" w:eastAsia="Times New Roman" w:hAnsi="Arial" w:cs="Arial"/>
          <w:sz w:val="22"/>
          <w:szCs w:val="22"/>
        </w:rPr>
        <w:t xml:space="preserve"> institution for top student-</w:t>
      </w:r>
      <w:r w:rsidRPr="00603EC4">
        <w:rPr>
          <w:rFonts w:ascii="Arial" w:eastAsia="Times New Roman" w:hAnsi="Arial" w:cs="Arial"/>
          <w:sz w:val="22"/>
          <w:szCs w:val="22"/>
        </w:rPr>
        <w:t xml:space="preserve">athletes in Montana and the Northwest.  Our vision to be </w:t>
      </w:r>
      <w:r w:rsidRPr="00603EC4">
        <w:rPr>
          <w:rFonts w:ascii="Arial" w:eastAsia="Times New Roman" w:hAnsi="Arial" w:cs="Arial"/>
          <w:i/>
          <w:sz w:val="22"/>
          <w:szCs w:val="22"/>
        </w:rPr>
        <w:t>First Choice</w:t>
      </w:r>
      <w:r w:rsidRPr="00603EC4">
        <w:rPr>
          <w:rFonts w:ascii="Arial" w:eastAsia="Times New Roman" w:hAnsi="Arial" w:cs="Arial"/>
          <w:sz w:val="22"/>
          <w:szCs w:val="22"/>
        </w:rPr>
        <w:t xml:space="preserve"> also ex</w:t>
      </w:r>
      <w:r w:rsidR="00E26ADC">
        <w:rPr>
          <w:rFonts w:ascii="Arial" w:eastAsia="Times New Roman" w:hAnsi="Arial" w:cs="Arial"/>
          <w:sz w:val="22"/>
          <w:szCs w:val="22"/>
        </w:rPr>
        <w:t>tends to the parents of student-</w:t>
      </w:r>
      <w:r w:rsidRPr="00603EC4">
        <w:rPr>
          <w:rFonts w:ascii="Arial" w:eastAsia="Times New Roman" w:hAnsi="Arial" w:cs="Arial"/>
          <w:sz w:val="22"/>
          <w:szCs w:val="22"/>
        </w:rPr>
        <w:t>athlete</w:t>
      </w:r>
      <w:r w:rsidR="002F1F68">
        <w:rPr>
          <w:rFonts w:ascii="Arial" w:eastAsia="Times New Roman" w:hAnsi="Arial" w:cs="Arial"/>
          <w:sz w:val="22"/>
          <w:szCs w:val="22"/>
        </w:rPr>
        <w:t xml:space="preserve">s, fans, community members, </w:t>
      </w:r>
      <w:r w:rsidRPr="00603EC4">
        <w:rPr>
          <w:rFonts w:ascii="Arial" w:eastAsia="Times New Roman" w:hAnsi="Arial" w:cs="Arial"/>
          <w:sz w:val="22"/>
          <w:szCs w:val="22"/>
        </w:rPr>
        <w:t>donors, and the area media.</w:t>
      </w:r>
    </w:p>
    <w:p w:rsidR="000F73D1" w:rsidRPr="00603EC4" w:rsidRDefault="000F73D1" w:rsidP="001B4D6A">
      <w:pPr>
        <w:rPr>
          <w:rFonts w:ascii="Arial" w:eastAsia="Times New Roman" w:hAnsi="Arial" w:cs="Arial"/>
          <w:sz w:val="22"/>
          <w:szCs w:val="22"/>
        </w:rPr>
      </w:pPr>
    </w:p>
    <w:p w:rsidR="00603EC4" w:rsidRDefault="00603EC4" w:rsidP="001B4D6A">
      <w:pPr>
        <w:rPr>
          <w:rFonts w:ascii="Arial" w:eastAsia="Times New Roman" w:hAnsi="Arial" w:cs="Arial"/>
          <w:sz w:val="22"/>
          <w:szCs w:val="22"/>
        </w:rPr>
      </w:pPr>
      <w:r w:rsidRPr="00603EC4">
        <w:rPr>
          <w:rFonts w:ascii="Arial" w:eastAsia="Times New Roman" w:hAnsi="Arial" w:cs="Arial"/>
          <w:b/>
          <w:sz w:val="22"/>
          <w:szCs w:val="22"/>
        </w:rPr>
        <w:t>MISSION</w:t>
      </w:r>
      <w:r w:rsidRPr="00603EC4">
        <w:rPr>
          <w:rFonts w:ascii="Arial" w:eastAsia="Times New Roman" w:hAnsi="Arial" w:cs="Arial"/>
          <w:sz w:val="22"/>
          <w:szCs w:val="22"/>
        </w:rPr>
        <w:t>:  The Athletic Department at Montana Tech is committed to the University’s mission to meet the changing needs of society by supplying knowledge and education through a strong undergraduate curriculum.  The Athletic Department’s mission focuses on three interrelated communities:</w:t>
      </w:r>
    </w:p>
    <w:p w:rsidR="000F73D1" w:rsidRPr="00603EC4" w:rsidRDefault="000F73D1" w:rsidP="001B4D6A">
      <w:pPr>
        <w:rPr>
          <w:rFonts w:ascii="Arial" w:eastAsia="Times New Roman" w:hAnsi="Arial" w:cs="Arial"/>
          <w:sz w:val="22"/>
          <w:szCs w:val="22"/>
        </w:rPr>
      </w:pPr>
    </w:p>
    <w:p w:rsidR="00603EC4" w:rsidRPr="00603EC4" w:rsidRDefault="00E26ADC" w:rsidP="001B4D6A">
      <w:pPr>
        <w:pStyle w:val="ListParagraph"/>
        <w:numPr>
          <w:ilvl w:val="0"/>
          <w:numId w:val="36"/>
        </w:numPr>
        <w:spacing w:after="200"/>
        <w:contextualSpacing/>
        <w:rPr>
          <w:rFonts w:eastAsia="Times New Roman"/>
          <w:sz w:val="22"/>
          <w:szCs w:val="22"/>
        </w:rPr>
      </w:pPr>
      <w:r>
        <w:rPr>
          <w:rFonts w:eastAsia="Times New Roman"/>
          <w:sz w:val="22"/>
          <w:szCs w:val="22"/>
          <w:u w:val="single"/>
        </w:rPr>
        <w:t>Student-</w:t>
      </w:r>
      <w:r w:rsidR="00603EC4" w:rsidRPr="008E7A5E">
        <w:rPr>
          <w:rFonts w:eastAsia="Times New Roman"/>
          <w:sz w:val="22"/>
          <w:szCs w:val="22"/>
          <w:u w:val="single"/>
        </w:rPr>
        <w:t>Athletes</w:t>
      </w:r>
      <w:r w:rsidR="00603EC4" w:rsidRPr="00603EC4">
        <w:rPr>
          <w:rFonts w:eastAsia="Times New Roman"/>
          <w:sz w:val="22"/>
          <w:szCs w:val="22"/>
        </w:rPr>
        <w:t>:  The mi</w:t>
      </w:r>
      <w:r>
        <w:rPr>
          <w:rFonts w:eastAsia="Times New Roman"/>
          <w:sz w:val="22"/>
          <w:szCs w:val="22"/>
        </w:rPr>
        <w:t>ssion is to provide the student-athlete with</w:t>
      </w:r>
      <w:r w:rsidR="00603EC4" w:rsidRPr="00603EC4">
        <w:rPr>
          <w:rFonts w:eastAsia="Times New Roman"/>
          <w:sz w:val="22"/>
          <w:szCs w:val="22"/>
        </w:rPr>
        <w:t xml:space="preserve"> opportunities and support that will allow the student athlete to compete academically and athletically at the highest level.  It is the mission to build life-long characteristics of dedication, excellence, pride, and leadership.</w:t>
      </w:r>
    </w:p>
    <w:p w:rsidR="00603EC4" w:rsidRPr="00603EC4" w:rsidRDefault="00603EC4" w:rsidP="001B4D6A">
      <w:pPr>
        <w:pStyle w:val="ListParagraph"/>
        <w:numPr>
          <w:ilvl w:val="0"/>
          <w:numId w:val="36"/>
        </w:numPr>
        <w:spacing w:after="200"/>
        <w:contextualSpacing/>
        <w:rPr>
          <w:rFonts w:eastAsia="Times New Roman"/>
          <w:sz w:val="22"/>
          <w:szCs w:val="22"/>
        </w:rPr>
      </w:pPr>
      <w:r w:rsidRPr="008E7A5E">
        <w:rPr>
          <w:rFonts w:eastAsia="Times New Roman"/>
          <w:sz w:val="22"/>
          <w:szCs w:val="22"/>
          <w:u w:val="single"/>
        </w:rPr>
        <w:t>University Community</w:t>
      </w:r>
      <w:r w:rsidRPr="00603EC4">
        <w:rPr>
          <w:rFonts w:eastAsia="Times New Roman"/>
          <w:sz w:val="22"/>
          <w:szCs w:val="22"/>
        </w:rPr>
        <w:t>:  The mission is to operate with quality and integrity as a focal point for school identity and spirit while complementing the academic culture and social facets of University life.</w:t>
      </w:r>
    </w:p>
    <w:p w:rsidR="00603EC4" w:rsidRPr="00603EC4" w:rsidRDefault="00603EC4" w:rsidP="001B4D6A">
      <w:pPr>
        <w:pStyle w:val="ListParagraph"/>
        <w:numPr>
          <w:ilvl w:val="0"/>
          <w:numId w:val="36"/>
        </w:numPr>
        <w:spacing w:after="200"/>
        <w:contextualSpacing/>
        <w:rPr>
          <w:rFonts w:eastAsia="Times New Roman"/>
          <w:sz w:val="22"/>
          <w:szCs w:val="22"/>
        </w:rPr>
      </w:pPr>
      <w:r w:rsidRPr="008E7A5E">
        <w:rPr>
          <w:rFonts w:eastAsia="Times New Roman"/>
          <w:sz w:val="22"/>
          <w:szCs w:val="22"/>
          <w:u w:val="single"/>
        </w:rPr>
        <w:t>Butte Community</w:t>
      </w:r>
      <w:r w:rsidRPr="00603EC4">
        <w:rPr>
          <w:rFonts w:eastAsia="Times New Roman"/>
          <w:sz w:val="22"/>
          <w:szCs w:val="22"/>
        </w:rPr>
        <w:t>:  The mission is to support the community through public service and to be a source of pride and entertainment to Butte and southwest Montana with successful</w:t>
      </w:r>
      <w:r w:rsidR="00E26ADC">
        <w:rPr>
          <w:rFonts w:eastAsia="Times New Roman"/>
          <w:sz w:val="22"/>
          <w:szCs w:val="22"/>
        </w:rPr>
        <w:t xml:space="preserve"> programs that graduate student-</w:t>
      </w:r>
      <w:r w:rsidRPr="00603EC4">
        <w:rPr>
          <w:rFonts w:eastAsia="Times New Roman"/>
          <w:sz w:val="22"/>
          <w:szCs w:val="22"/>
        </w:rPr>
        <w:t>athletes and thereby benefit the local and state economies.</w:t>
      </w:r>
    </w:p>
    <w:p w:rsidR="00603EC4" w:rsidRPr="00603EC4" w:rsidRDefault="00603EC4" w:rsidP="001B4D6A">
      <w:pPr>
        <w:pStyle w:val="ListParagraph"/>
        <w:rPr>
          <w:rFonts w:eastAsia="Times New Roman"/>
          <w:sz w:val="22"/>
          <w:szCs w:val="22"/>
        </w:rPr>
      </w:pPr>
    </w:p>
    <w:p w:rsidR="000F73D1" w:rsidRDefault="00603EC4" w:rsidP="001B4D6A">
      <w:pPr>
        <w:rPr>
          <w:rFonts w:ascii="Arial" w:eastAsia="Times New Roman" w:hAnsi="Arial" w:cs="Arial"/>
          <w:sz w:val="22"/>
          <w:szCs w:val="22"/>
        </w:rPr>
      </w:pPr>
      <w:r w:rsidRPr="00603EC4">
        <w:rPr>
          <w:rFonts w:ascii="Arial" w:eastAsia="Times New Roman" w:hAnsi="Arial" w:cs="Arial"/>
          <w:sz w:val="22"/>
          <w:szCs w:val="22"/>
        </w:rPr>
        <w:t>At the beginning of each season</w:t>
      </w:r>
      <w:r w:rsidR="00E26ADC">
        <w:rPr>
          <w:rFonts w:ascii="Arial" w:eastAsia="Times New Roman" w:hAnsi="Arial" w:cs="Arial"/>
          <w:sz w:val="22"/>
          <w:szCs w:val="22"/>
        </w:rPr>
        <w:t>,</w:t>
      </w:r>
      <w:r w:rsidRPr="00603EC4">
        <w:rPr>
          <w:rFonts w:ascii="Arial" w:eastAsia="Times New Roman" w:hAnsi="Arial" w:cs="Arial"/>
          <w:sz w:val="22"/>
          <w:szCs w:val="22"/>
        </w:rPr>
        <w:t xml:space="preserve"> the coaches submit their goals and expectations to the Athletic Director.  At that time the Athletic Director communicates to the c</w:t>
      </w:r>
      <w:r w:rsidR="00F079ED">
        <w:rPr>
          <w:rFonts w:ascii="Arial" w:eastAsia="Times New Roman" w:hAnsi="Arial" w:cs="Arial"/>
          <w:sz w:val="22"/>
          <w:szCs w:val="22"/>
        </w:rPr>
        <w:t>oaches the expectations of the U</w:t>
      </w:r>
      <w:r w:rsidRPr="00603EC4">
        <w:rPr>
          <w:rFonts w:ascii="Arial" w:eastAsia="Times New Roman" w:hAnsi="Arial" w:cs="Arial"/>
          <w:sz w:val="22"/>
          <w:szCs w:val="22"/>
        </w:rPr>
        <w:t xml:space="preserve">niversity.  At the end of the year, the coach and his/her respective program is reviewed.  The annual performance reviews are completed by the Athletic Director and provided to the athletic </w:t>
      </w:r>
      <w:r w:rsidRPr="00603EC4">
        <w:rPr>
          <w:rFonts w:ascii="Arial" w:eastAsia="Times New Roman" w:hAnsi="Arial" w:cs="Arial"/>
          <w:sz w:val="22"/>
          <w:szCs w:val="22"/>
        </w:rPr>
        <w:lastRenderedPageBreak/>
        <w:t>staff.  The areas of review include, but are not limited to: recruiting, coaching effectiveness, scheduling, preparation, public relations, and student-</w:t>
      </w:r>
      <w:r w:rsidR="00582697">
        <w:rPr>
          <w:rFonts w:ascii="Arial" w:eastAsia="Times New Roman" w:hAnsi="Arial" w:cs="Arial"/>
          <w:sz w:val="22"/>
          <w:szCs w:val="22"/>
        </w:rPr>
        <w:t>athlete development, and budget-to--</w:t>
      </w:r>
      <w:r w:rsidRPr="00603EC4">
        <w:rPr>
          <w:rFonts w:ascii="Arial" w:eastAsia="Times New Roman" w:hAnsi="Arial" w:cs="Arial"/>
          <w:sz w:val="22"/>
          <w:szCs w:val="22"/>
        </w:rPr>
        <w:t>actual fiscal performance.</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  </w:t>
      </w:r>
    </w:p>
    <w:p w:rsidR="000F73D1" w:rsidRDefault="00603EC4" w:rsidP="001B4D6A">
      <w:pPr>
        <w:rPr>
          <w:rFonts w:ascii="Arial" w:eastAsia="Times New Roman" w:hAnsi="Arial" w:cs="Arial"/>
          <w:sz w:val="22"/>
          <w:szCs w:val="22"/>
        </w:rPr>
      </w:pPr>
      <w:r w:rsidRPr="00603EC4">
        <w:rPr>
          <w:rFonts w:ascii="Arial" w:eastAsia="Times New Roman" w:hAnsi="Arial" w:cs="Arial"/>
          <w:sz w:val="22"/>
          <w:szCs w:val="22"/>
        </w:rPr>
        <w:t>The Athletic Director also attends the NAIA National Convention to stay abreast of rules on intercollegiate athletics and meets with the faculty representative to make sure that policies and procedures are being followed.  All rule changes and other pertinent information are shared with the coaches and staff.</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Non-athletic department faculty and staff regularly attend Athletic Department staff meetings to upd</w:t>
      </w:r>
      <w:r w:rsidR="00BA7D2F">
        <w:rPr>
          <w:rFonts w:ascii="Arial" w:eastAsia="Times New Roman" w:hAnsi="Arial" w:cs="Arial"/>
          <w:sz w:val="22"/>
          <w:szCs w:val="22"/>
        </w:rPr>
        <w:t>ate the athletic department on U</w:t>
      </w:r>
      <w:r w:rsidRPr="00603EC4">
        <w:rPr>
          <w:rFonts w:ascii="Arial" w:eastAsia="Times New Roman" w:hAnsi="Arial" w:cs="Arial"/>
          <w:sz w:val="22"/>
          <w:szCs w:val="22"/>
        </w:rPr>
        <w:t xml:space="preserve">niversity procedures and policies.  </w:t>
      </w:r>
      <w:r w:rsidRPr="00603EC4">
        <w:rPr>
          <w:rFonts w:ascii="Arial" w:hAnsi="Arial" w:cs="Arial"/>
          <w:sz w:val="22"/>
          <w:szCs w:val="22"/>
        </w:rPr>
        <w:t>Team athlete development, including academics, is reviewed annually with coaches in program reviews with the Athletic Director.</w:t>
      </w:r>
      <w:r w:rsidRPr="00603EC4">
        <w:rPr>
          <w:rFonts w:ascii="Arial" w:eastAsia="Times New Roman" w:hAnsi="Arial" w:cs="Arial"/>
          <w:sz w:val="22"/>
          <w:szCs w:val="22"/>
        </w:rPr>
        <w:t> </w:t>
      </w:r>
    </w:p>
    <w:p w:rsidR="00611EDF" w:rsidRDefault="00611EDF" w:rsidP="001B4D6A">
      <w:pPr>
        <w:rPr>
          <w:rFonts w:ascii="Arial" w:eastAsia="Times New Roman" w:hAnsi="Arial" w:cs="Arial"/>
          <w:b/>
          <w:bCs/>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3.E.3   Admission requirements and procedures, academic standards and degree requirements, and financial aid awards for student athletics are vested in the same institutional agencies that handle these matters for all students.</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w:t>
      </w:r>
    </w:p>
    <w:p w:rsidR="00603EC4" w:rsidRPr="00603EC4" w:rsidRDefault="00BA7D2F" w:rsidP="001B4D6A">
      <w:pPr>
        <w:rPr>
          <w:rFonts w:ascii="Arial" w:eastAsia="Times New Roman" w:hAnsi="Arial" w:cs="Arial"/>
          <w:sz w:val="22"/>
          <w:szCs w:val="22"/>
        </w:rPr>
      </w:pPr>
      <w:r>
        <w:rPr>
          <w:rFonts w:ascii="Arial" w:eastAsia="Times New Roman" w:hAnsi="Arial" w:cs="Arial"/>
          <w:sz w:val="22"/>
          <w:szCs w:val="22"/>
        </w:rPr>
        <w:t>Montana Tech treats student-athletes and non-student-</w:t>
      </w:r>
      <w:r w:rsidR="00603EC4" w:rsidRPr="00603EC4">
        <w:rPr>
          <w:rFonts w:ascii="Arial" w:eastAsia="Times New Roman" w:hAnsi="Arial" w:cs="Arial"/>
          <w:sz w:val="22"/>
          <w:szCs w:val="22"/>
        </w:rPr>
        <w:t>athletes exact</w:t>
      </w:r>
      <w:r>
        <w:rPr>
          <w:rFonts w:ascii="Arial" w:eastAsia="Times New Roman" w:hAnsi="Arial" w:cs="Arial"/>
          <w:sz w:val="22"/>
          <w:szCs w:val="22"/>
        </w:rPr>
        <w:t>ly alike. A prospective student-</w:t>
      </w:r>
      <w:r w:rsidR="00603EC4" w:rsidRPr="00603EC4">
        <w:rPr>
          <w:rFonts w:ascii="Arial" w:eastAsia="Times New Roman" w:hAnsi="Arial" w:cs="Arial"/>
          <w:sz w:val="22"/>
          <w:szCs w:val="22"/>
        </w:rPr>
        <w:t>athlete must complete all of the admission, registration, and academic</w:t>
      </w:r>
      <w:r>
        <w:rPr>
          <w:rFonts w:ascii="Arial" w:eastAsia="Times New Roman" w:hAnsi="Arial" w:cs="Arial"/>
          <w:sz w:val="22"/>
          <w:szCs w:val="22"/>
        </w:rPr>
        <w:t xml:space="preserve"> standards requirements of the U</w:t>
      </w:r>
      <w:r w:rsidR="00603EC4" w:rsidRPr="00603EC4">
        <w:rPr>
          <w:rFonts w:ascii="Arial" w:eastAsia="Times New Roman" w:hAnsi="Arial" w:cs="Arial"/>
          <w:sz w:val="22"/>
          <w:szCs w:val="22"/>
        </w:rPr>
        <w:t xml:space="preserve">niversity.  </w:t>
      </w:r>
    </w:p>
    <w:p w:rsidR="00603EC4" w:rsidRPr="00603EC4" w:rsidRDefault="00603EC4" w:rsidP="001B4D6A">
      <w:pPr>
        <w:rPr>
          <w:rFonts w:ascii="Arial" w:eastAsia="Times New Roman" w:hAnsi="Arial" w:cs="Arial"/>
          <w:sz w:val="22"/>
          <w:szCs w:val="22"/>
        </w:rPr>
      </w:pPr>
    </w:p>
    <w:p w:rsidR="000F73D1" w:rsidRDefault="00603EC4" w:rsidP="001B4D6A">
      <w:pPr>
        <w:rPr>
          <w:rFonts w:ascii="Arial" w:eastAsia="Times New Roman" w:hAnsi="Arial" w:cs="Arial"/>
          <w:sz w:val="22"/>
          <w:szCs w:val="22"/>
        </w:rPr>
      </w:pPr>
      <w:r w:rsidRPr="00603EC4">
        <w:rPr>
          <w:rFonts w:ascii="Arial" w:hAnsi="Arial" w:cs="Arial"/>
          <w:sz w:val="22"/>
          <w:szCs w:val="22"/>
        </w:rPr>
        <w:t>For the purpose of admissions, all studen</w:t>
      </w:r>
      <w:r w:rsidR="00BA7D2F">
        <w:rPr>
          <w:rFonts w:ascii="Arial" w:hAnsi="Arial" w:cs="Arial"/>
          <w:sz w:val="22"/>
          <w:szCs w:val="22"/>
        </w:rPr>
        <w:t>t-</w:t>
      </w:r>
      <w:r w:rsidRPr="00603EC4">
        <w:rPr>
          <w:rFonts w:ascii="Arial" w:hAnsi="Arial" w:cs="Arial"/>
          <w:sz w:val="22"/>
          <w:szCs w:val="22"/>
        </w:rPr>
        <w:t xml:space="preserve">athletes must meet NAIA eligibility standards and Montana </w:t>
      </w:r>
      <w:r w:rsidR="00BA7D2F">
        <w:rPr>
          <w:rFonts w:ascii="Arial" w:hAnsi="Arial" w:cs="Arial"/>
          <w:sz w:val="22"/>
          <w:szCs w:val="22"/>
        </w:rPr>
        <w:t>Tech admission standards.  A</w:t>
      </w:r>
      <w:r w:rsidRPr="00603EC4">
        <w:rPr>
          <w:rFonts w:ascii="Arial" w:hAnsi="Arial" w:cs="Arial"/>
          <w:sz w:val="22"/>
          <w:szCs w:val="22"/>
        </w:rPr>
        <w:t>dmission of student athletes is evaluated by Enrollment Services using the same process and standa</w:t>
      </w:r>
      <w:r w:rsidR="00BA7D2F">
        <w:rPr>
          <w:rFonts w:ascii="Arial" w:hAnsi="Arial" w:cs="Arial"/>
          <w:sz w:val="22"/>
          <w:szCs w:val="22"/>
        </w:rPr>
        <w:t>rds for all Tech students (S</w:t>
      </w:r>
      <w:r w:rsidR="00F079ED">
        <w:rPr>
          <w:rFonts w:ascii="Arial" w:hAnsi="Arial" w:cs="Arial"/>
          <w:sz w:val="22"/>
          <w:szCs w:val="22"/>
        </w:rPr>
        <w:t>ee C</w:t>
      </w:r>
      <w:r w:rsidRPr="00603EC4">
        <w:rPr>
          <w:rFonts w:ascii="Arial" w:hAnsi="Arial" w:cs="Arial"/>
          <w:sz w:val="22"/>
          <w:szCs w:val="22"/>
        </w:rPr>
        <w:t xml:space="preserve">atalog pgs. 5-11).  </w:t>
      </w:r>
      <w:r w:rsidRPr="00603EC4">
        <w:rPr>
          <w:rFonts w:ascii="Arial" w:eastAsia="Times New Roman" w:hAnsi="Arial" w:cs="Arial"/>
          <w:sz w:val="22"/>
          <w:szCs w:val="22"/>
        </w:rPr>
        <w:t>Athletic eligibility is verified at the beginning of each season by the Office of Enrollment Processing, Athletic Director, coach, and faculty representative.  Privately-funded athletic scholarships and state-awarded waivers are chosen by recommendation of the coaching staff.</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  </w:t>
      </w:r>
    </w:p>
    <w:p w:rsidR="00603EC4" w:rsidRPr="00603EC4" w:rsidRDefault="00603EC4" w:rsidP="001B4D6A">
      <w:pPr>
        <w:rPr>
          <w:rFonts w:ascii="Arial" w:eastAsia="Times New Roman" w:hAnsi="Arial" w:cs="Arial"/>
          <w:sz w:val="22"/>
          <w:szCs w:val="22"/>
        </w:rPr>
      </w:pPr>
      <w:r w:rsidRPr="00603EC4">
        <w:rPr>
          <w:rFonts w:ascii="Arial" w:hAnsi="Arial" w:cs="Arial"/>
          <w:sz w:val="22"/>
          <w:szCs w:val="22"/>
        </w:rPr>
        <w:t xml:space="preserve">In </w:t>
      </w:r>
      <w:r w:rsidR="00BA7D2F">
        <w:rPr>
          <w:rFonts w:ascii="Arial" w:hAnsi="Arial" w:cs="Arial"/>
          <w:sz w:val="22"/>
          <w:szCs w:val="22"/>
        </w:rPr>
        <w:t>terms of financial aid, student-</w:t>
      </w:r>
      <w:r w:rsidRPr="00603EC4">
        <w:rPr>
          <w:rFonts w:ascii="Arial" w:hAnsi="Arial" w:cs="Arial"/>
          <w:sz w:val="22"/>
          <w:szCs w:val="22"/>
        </w:rPr>
        <w:t>athletes apply for all st</w:t>
      </w:r>
      <w:r w:rsidR="00BA7D2F">
        <w:rPr>
          <w:rFonts w:ascii="Arial" w:hAnsi="Arial" w:cs="Arial"/>
          <w:sz w:val="22"/>
          <w:szCs w:val="22"/>
        </w:rPr>
        <w:t>ate, federal, and non-athletic d</w:t>
      </w:r>
      <w:r w:rsidRPr="00603EC4">
        <w:rPr>
          <w:rFonts w:ascii="Arial" w:hAnsi="Arial" w:cs="Arial"/>
          <w:sz w:val="22"/>
          <w:szCs w:val="22"/>
        </w:rPr>
        <w:t>epartment scholarships through Enrollment Processing as do non-athletes.  The Athletic Department’s privately-funded scholarships are chosen from the recommendations of the respective coaching staff.</w:t>
      </w:r>
      <w:r w:rsidR="008B0673">
        <w:rPr>
          <w:rFonts w:ascii="Arial" w:hAnsi="Arial" w:cs="Arial"/>
          <w:sz w:val="22"/>
          <w:szCs w:val="22"/>
        </w:rPr>
        <w:t xml:space="preserve">  </w:t>
      </w:r>
      <w:r w:rsidRPr="00603EC4">
        <w:rPr>
          <w:rFonts w:ascii="Arial" w:eastAsia="Times New Roman" w:hAnsi="Arial" w:cs="Arial"/>
          <w:sz w:val="22"/>
          <w:szCs w:val="22"/>
        </w:rPr>
        <w:t>Montana Tech abides by the NAIA rules as to the number of scholarships allowed for each athletic program.  Montana Tech does not provide the full level of scholastic aid allowed by the NAIA.  A report is filed</w:t>
      </w:r>
      <w:r w:rsidR="00BA7D2F">
        <w:rPr>
          <w:rFonts w:ascii="Arial" w:eastAsia="Times New Roman" w:hAnsi="Arial" w:cs="Arial"/>
          <w:sz w:val="22"/>
          <w:szCs w:val="22"/>
        </w:rPr>
        <w:t xml:space="preserve"> each F</w:t>
      </w:r>
      <w:r w:rsidRPr="00603EC4">
        <w:rPr>
          <w:rFonts w:ascii="Arial" w:eastAsia="Times New Roman" w:hAnsi="Arial" w:cs="Arial"/>
          <w:sz w:val="22"/>
          <w:szCs w:val="22"/>
        </w:rPr>
        <w:t>all with the NAIA outlining our Institutional Financial Aid.</w:t>
      </w:r>
    </w:p>
    <w:p w:rsidR="00603EC4" w:rsidRPr="00603EC4" w:rsidRDefault="00603EC4" w:rsidP="001B4D6A">
      <w:pPr>
        <w:rPr>
          <w:rFonts w:ascii="Arial" w:eastAsia="Times New Roman" w:hAnsi="Arial" w:cs="Arial"/>
          <w:sz w:val="22"/>
          <w:szCs w:val="22"/>
        </w:rPr>
      </w:pPr>
    </w:p>
    <w:p w:rsidR="00603EC4" w:rsidRDefault="00603EC4" w:rsidP="001B4D6A">
      <w:pPr>
        <w:rPr>
          <w:rFonts w:ascii="Arial" w:hAnsi="Arial" w:cs="Arial"/>
          <w:sz w:val="22"/>
          <w:szCs w:val="22"/>
        </w:rPr>
      </w:pPr>
      <w:r w:rsidRPr="00603EC4">
        <w:rPr>
          <w:rFonts w:ascii="Arial" w:hAnsi="Arial" w:cs="Arial"/>
          <w:sz w:val="22"/>
          <w:szCs w:val="22"/>
        </w:rPr>
        <w:t>Academic standing is evaluated for all students by the Office of Enrollm</w:t>
      </w:r>
      <w:r w:rsidR="00F079ED">
        <w:rPr>
          <w:rFonts w:ascii="Arial" w:hAnsi="Arial" w:cs="Arial"/>
          <w:sz w:val="22"/>
          <w:szCs w:val="22"/>
        </w:rPr>
        <w:t>ent Processing (see C</w:t>
      </w:r>
      <w:r w:rsidR="00063ABE">
        <w:rPr>
          <w:rFonts w:ascii="Arial" w:hAnsi="Arial" w:cs="Arial"/>
          <w:sz w:val="22"/>
          <w:szCs w:val="22"/>
        </w:rPr>
        <w:t>atalog p.</w:t>
      </w:r>
      <w:r w:rsidR="00BA7D2F">
        <w:rPr>
          <w:rFonts w:ascii="Arial" w:hAnsi="Arial" w:cs="Arial"/>
          <w:sz w:val="22"/>
          <w:szCs w:val="22"/>
        </w:rPr>
        <w:t xml:space="preserve"> 25). Additionally for student-</w:t>
      </w:r>
      <w:r w:rsidRPr="00603EC4">
        <w:rPr>
          <w:rFonts w:ascii="Arial" w:hAnsi="Arial" w:cs="Arial"/>
          <w:sz w:val="22"/>
          <w:szCs w:val="22"/>
        </w:rPr>
        <w:t>athletes, eligibility is verified at the beginning of each season by the Office of Enrollment Processing and signed by the Director of Enrollment Services, Athletic Director, coach, and faculty representative.  Graduation and degree requirements for all students are handled by the academic departments and Enrollment Processing with the same process and criteria for athletes an</w:t>
      </w:r>
      <w:r w:rsidR="00F079ED">
        <w:rPr>
          <w:rFonts w:ascii="Arial" w:hAnsi="Arial" w:cs="Arial"/>
          <w:sz w:val="22"/>
          <w:szCs w:val="22"/>
        </w:rPr>
        <w:t>d non-athletes</w:t>
      </w:r>
      <w:r w:rsidR="00BA7D2F">
        <w:rPr>
          <w:rFonts w:ascii="Arial" w:hAnsi="Arial" w:cs="Arial"/>
          <w:sz w:val="22"/>
          <w:szCs w:val="22"/>
        </w:rPr>
        <w:t>. (S</w:t>
      </w:r>
      <w:r w:rsidR="00F079ED">
        <w:rPr>
          <w:rFonts w:ascii="Arial" w:hAnsi="Arial" w:cs="Arial"/>
          <w:sz w:val="22"/>
          <w:szCs w:val="22"/>
        </w:rPr>
        <w:t>ee C</w:t>
      </w:r>
      <w:r w:rsidR="00063ABE">
        <w:rPr>
          <w:rFonts w:ascii="Arial" w:hAnsi="Arial" w:cs="Arial"/>
          <w:sz w:val="22"/>
          <w:szCs w:val="22"/>
        </w:rPr>
        <w:t>atalog pp.</w:t>
      </w:r>
      <w:r w:rsidRPr="00603EC4">
        <w:rPr>
          <w:rFonts w:ascii="Arial" w:hAnsi="Arial" w:cs="Arial"/>
          <w:sz w:val="22"/>
          <w:szCs w:val="22"/>
        </w:rPr>
        <w:t xml:space="preserve"> 26-28</w:t>
      </w:r>
      <w:r w:rsidR="00BA7D2F">
        <w:rPr>
          <w:rFonts w:ascii="Arial" w:hAnsi="Arial" w:cs="Arial"/>
          <w:sz w:val="22"/>
          <w:szCs w:val="22"/>
        </w:rPr>
        <w:t>.)</w:t>
      </w:r>
    </w:p>
    <w:p w:rsidR="000F73D1" w:rsidRPr="00603EC4" w:rsidRDefault="000F73D1" w:rsidP="001B4D6A">
      <w:pPr>
        <w:rPr>
          <w:rFonts w:ascii="Arial" w:hAnsi="Arial" w:cs="Arial"/>
          <w:sz w:val="22"/>
          <w:szCs w:val="22"/>
        </w:rPr>
      </w:pPr>
    </w:p>
    <w:p w:rsidR="00603EC4" w:rsidRDefault="00603EC4" w:rsidP="001B4D6A">
      <w:pPr>
        <w:rPr>
          <w:rFonts w:ascii="Arial" w:hAnsi="Arial" w:cs="Arial"/>
          <w:color w:val="0000FF"/>
          <w:sz w:val="22"/>
          <w:szCs w:val="22"/>
        </w:rPr>
      </w:pPr>
      <w:r w:rsidRPr="00603EC4">
        <w:rPr>
          <w:rFonts w:ascii="Arial" w:hAnsi="Arial" w:cs="Arial"/>
          <w:sz w:val="22"/>
          <w:szCs w:val="22"/>
        </w:rPr>
        <w:t>As outlined in Ta</w:t>
      </w:r>
      <w:r w:rsidR="00BA7D2F">
        <w:rPr>
          <w:rFonts w:ascii="Arial" w:hAnsi="Arial" w:cs="Arial"/>
          <w:sz w:val="22"/>
          <w:szCs w:val="22"/>
        </w:rPr>
        <w:t>ble 3.E.I, Montana Tech student-</w:t>
      </w:r>
      <w:r w:rsidRPr="00603EC4">
        <w:rPr>
          <w:rFonts w:ascii="Arial" w:hAnsi="Arial" w:cs="Arial"/>
          <w:sz w:val="22"/>
          <w:szCs w:val="22"/>
        </w:rPr>
        <w:t>athletes excel academically with a 6-year graduation</w:t>
      </w:r>
      <w:r w:rsidR="008B0673">
        <w:rPr>
          <w:rFonts w:ascii="Arial" w:hAnsi="Arial" w:cs="Arial"/>
          <w:sz w:val="22"/>
          <w:szCs w:val="22"/>
        </w:rPr>
        <w:t xml:space="preserve"> rate of 62% and a </w:t>
      </w:r>
      <w:r w:rsidR="008B0673" w:rsidRPr="003E3FE2">
        <w:rPr>
          <w:rFonts w:ascii="Arial" w:hAnsi="Arial" w:cs="Arial"/>
          <w:sz w:val="22"/>
          <w:szCs w:val="22"/>
        </w:rPr>
        <w:t xml:space="preserve">low </w:t>
      </w:r>
      <w:r w:rsidR="00547C09" w:rsidRPr="003E3FE2">
        <w:rPr>
          <w:rFonts w:ascii="Arial" w:hAnsi="Arial" w:cs="Arial"/>
          <w:sz w:val="22"/>
          <w:szCs w:val="22"/>
        </w:rPr>
        <w:t>transfer-</w:t>
      </w:r>
      <w:r w:rsidR="008B0673" w:rsidRPr="003E3FE2">
        <w:rPr>
          <w:rFonts w:ascii="Arial" w:hAnsi="Arial" w:cs="Arial"/>
          <w:sz w:val="22"/>
          <w:szCs w:val="22"/>
        </w:rPr>
        <w:t>out</w:t>
      </w:r>
      <w:r w:rsidRPr="00603EC4">
        <w:rPr>
          <w:rFonts w:ascii="Arial" w:hAnsi="Arial" w:cs="Arial"/>
          <w:sz w:val="22"/>
          <w:szCs w:val="22"/>
        </w:rPr>
        <w:t xml:space="preserve"> rate of 16%. (</w:t>
      </w:r>
      <w:hyperlink r:id="rId78" w:history="1">
        <w:r w:rsidRPr="00603EC4">
          <w:rPr>
            <w:rStyle w:val="Hyperlink"/>
            <w:rFonts w:ascii="Arial" w:hAnsi="Arial" w:cs="Arial"/>
            <w:sz w:val="22"/>
            <w:szCs w:val="22"/>
          </w:rPr>
          <w:t>http://www.mtech.edu/onestop/grad_comp_rates.html</w:t>
        </w:r>
      </w:hyperlink>
      <w:r w:rsidRPr="0074352E">
        <w:rPr>
          <w:rFonts w:ascii="Arial" w:hAnsi="Arial" w:cs="Arial"/>
          <w:sz w:val="22"/>
          <w:szCs w:val="22"/>
        </w:rPr>
        <w:t>)</w:t>
      </w:r>
    </w:p>
    <w:p w:rsidR="00611EDF" w:rsidRDefault="00611EDF" w:rsidP="001B4D6A">
      <w:pPr>
        <w:rPr>
          <w:rFonts w:ascii="Arial" w:hAnsi="Arial" w:cs="Arial"/>
          <w:color w:val="0000FF"/>
          <w:sz w:val="22"/>
          <w:szCs w:val="22"/>
        </w:rPr>
      </w:pPr>
    </w:p>
    <w:p w:rsidR="003D436D" w:rsidRDefault="003D436D" w:rsidP="001B4D6A">
      <w:pPr>
        <w:jc w:val="center"/>
        <w:rPr>
          <w:rFonts w:ascii="Arial" w:hAnsi="Arial" w:cs="Arial"/>
          <w:b/>
          <w:sz w:val="22"/>
          <w:szCs w:val="22"/>
        </w:rPr>
      </w:pPr>
    </w:p>
    <w:p w:rsidR="003D436D" w:rsidRDefault="003D436D" w:rsidP="001B4D6A">
      <w:pPr>
        <w:jc w:val="center"/>
        <w:rPr>
          <w:rFonts w:ascii="Arial" w:hAnsi="Arial" w:cs="Arial"/>
          <w:b/>
          <w:sz w:val="22"/>
          <w:szCs w:val="22"/>
        </w:rPr>
      </w:pPr>
    </w:p>
    <w:p w:rsidR="003D436D" w:rsidRDefault="003D436D" w:rsidP="001B4D6A">
      <w:pPr>
        <w:jc w:val="center"/>
        <w:rPr>
          <w:rFonts w:ascii="Arial" w:hAnsi="Arial" w:cs="Arial"/>
          <w:b/>
          <w:sz w:val="22"/>
          <w:szCs w:val="22"/>
        </w:rPr>
      </w:pPr>
    </w:p>
    <w:p w:rsidR="003D436D" w:rsidRDefault="003D436D" w:rsidP="001B4D6A">
      <w:pPr>
        <w:jc w:val="center"/>
        <w:rPr>
          <w:rFonts w:ascii="Arial" w:hAnsi="Arial" w:cs="Arial"/>
          <w:b/>
          <w:sz w:val="22"/>
          <w:szCs w:val="22"/>
        </w:rPr>
      </w:pPr>
    </w:p>
    <w:p w:rsidR="00C13779" w:rsidRDefault="00C13779" w:rsidP="001B4D6A">
      <w:pPr>
        <w:jc w:val="center"/>
        <w:rPr>
          <w:rFonts w:ascii="Arial" w:hAnsi="Arial" w:cs="Arial"/>
          <w:b/>
          <w:sz w:val="22"/>
          <w:szCs w:val="22"/>
        </w:rPr>
      </w:pPr>
    </w:p>
    <w:p w:rsidR="00603EC4" w:rsidRDefault="00603EC4" w:rsidP="001B4D6A">
      <w:pPr>
        <w:jc w:val="center"/>
        <w:rPr>
          <w:rFonts w:ascii="Arial" w:hAnsi="Arial" w:cs="Arial"/>
          <w:b/>
          <w:sz w:val="22"/>
          <w:szCs w:val="22"/>
        </w:rPr>
      </w:pPr>
      <w:r w:rsidRPr="00603EC4">
        <w:rPr>
          <w:rFonts w:ascii="Arial" w:hAnsi="Arial" w:cs="Arial"/>
          <w:b/>
          <w:sz w:val="22"/>
          <w:szCs w:val="22"/>
        </w:rPr>
        <w:lastRenderedPageBreak/>
        <w:t>TABLE 3.E.I</w:t>
      </w:r>
      <w:r w:rsidR="004921EE">
        <w:rPr>
          <w:rFonts w:ascii="Arial" w:hAnsi="Arial" w:cs="Arial"/>
          <w:b/>
          <w:sz w:val="22"/>
          <w:szCs w:val="22"/>
        </w:rPr>
        <w:t xml:space="preserve">: </w:t>
      </w:r>
      <w:r w:rsidRPr="00603EC4">
        <w:rPr>
          <w:rFonts w:ascii="Arial" w:hAnsi="Arial" w:cs="Arial"/>
          <w:b/>
          <w:sz w:val="22"/>
          <w:szCs w:val="22"/>
        </w:rPr>
        <w:t xml:space="preserve"> ATHLETIC GRADUATION RATES</w:t>
      </w:r>
    </w:p>
    <w:p w:rsidR="00611EDF" w:rsidRPr="00603EC4" w:rsidRDefault="00611EDF" w:rsidP="001B4D6A">
      <w:pPr>
        <w:jc w:val="center"/>
        <w:rPr>
          <w:rFonts w:ascii="Arial" w:hAnsi="Arial" w:cs="Arial"/>
          <w:b/>
          <w:sz w:val="22"/>
          <w:szCs w:val="22"/>
        </w:rPr>
      </w:pPr>
    </w:p>
    <w:tbl>
      <w:tblPr>
        <w:tblW w:w="7760" w:type="dxa"/>
        <w:jc w:val="center"/>
        <w:tblLook w:val="04A0"/>
      </w:tblPr>
      <w:tblGrid>
        <w:gridCol w:w="2860"/>
        <w:gridCol w:w="2600"/>
        <w:gridCol w:w="2300"/>
      </w:tblGrid>
      <w:tr w:rsidR="00603EC4" w:rsidRPr="00603EC4" w:rsidTr="00D86481">
        <w:trPr>
          <w:trHeight w:val="915"/>
          <w:jc w:val="center"/>
        </w:trPr>
        <w:tc>
          <w:tcPr>
            <w:tcW w:w="2860" w:type="dxa"/>
            <w:tcBorders>
              <w:top w:val="single" w:sz="8" w:space="0" w:color="auto"/>
              <w:left w:val="single" w:sz="8" w:space="0" w:color="auto"/>
              <w:bottom w:val="double" w:sz="6" w:space="0" w:color="auto"/>
              <w:right w:val="single" w:sz="4" w:space="0" w:color="auto"/>
            </w:tcBorders>
            <w:shd w:val="clear" w:color="auto" w:fill="auto"/>
            <w:vAlign w:val="bottom"/>
            <w:hideMark/>
          </w:tcPr>
          <w:p w:rsidR="00603EC4" w:rsidRPr="00603EC4" w:rsidRDefault="00BA7D2F" w:rsidP="001B4D6A">
            <w:pPr>
              <w:jc w:val="center"/>
              <w:rPr>
                <w:rFonts w:ascii="Arial" w:eastAsia="Times New Roman" w:hAnsi="Arial" w:cs="Arial"/>
                <w:color w:val="000000"/>
                <w:sz w:val="22"/>
                <w:szCs w:val="22"/>
              </w:rPr>
            </w:pPr>
            <w:r>
              <w:rPr>
                <w:rFonts w:ascii="Arial" w:eastAsia="Times New Roman" w:hAnsi="Arial" w:cs="Arial"/>
                <w:color w:val="000000"/>
                <w:sz w:val="22"/>
                <w:szCs w:val="22"/>
              </w:rPr>
              <w:t>Student-</w:t>
            </w:r>
            <w:r w:rsidR="00603EC4" w:rsidRPr="00603EC4">
              <w:rPr>
                <w:rFonts w:ascii="Arial" w:eastAsia="Times New Roman" w:hAnsi="Arial" w:cs="Arial"/>
                <w:color w:val="000000"/>
                <w:sz w:val="22"/>
                <w:szCs w:val="22"/>
              </w:rPr>
              <w:t>Athletes who received athletically-related student aid</w:t>
            </w:r>
          </w:p>
        </w:tc>
        <w:tc>
          <w:tcPr>
            <w:tcW w:w="2600" w:type="dxa"/>
            <w:tcBorders>
              <w:top w:val="single" w:sz="8" w:space="0" w:color="auto"/>
              <w:left w:val="nil"/>
              <w:bottom w:val="double" w:sz="6" w:space="0" w:color="auto"/>
              <w:right w:val="single" w:sz="4" w:space="0" w:color="auto"/>
            </w:tcBorders>
            <w:shd w:val="clear" w:color="auto" w:fill="auto"/>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4 year average Student-Right-to-Know 150% normal time</w:t>
            </w:r>
          </w:p>
        </w:tc>
        <w:tc>
          <w:tcPr>
            <w:tcW w:w="2300" w:type="dxa"/>
            <w:tcBorders>
              <w:top w:val="single" w:sz="8" w:space="0" w:color="auto"/>
              <w:left w:val="nil"/>
              <w:bottom w:val="double" w:sz="6" w:space="0" w:color="auto"/>
              <w:right w:val="single" w:sz="8" w:space="0" w:color="auto"/>
            </w:tcBorders>
            <w:shd w:val="clear" w:color="auto" w:fill="auto"/>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4 year average athlete Student-Right-to-Know transfer-out rate</w:t>
            </w:r>
          </w:p>
        </w:tc>
      </w:tr>
      <w:tr w:rsidR="00603EC4" w:rsidRPr="00603EC4" w:rsidTr="00D86481">
        <w:trPr>
          <w:trHeight w:val="315"/>
          <w:jc w:val="center"/>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Football</w:t>
            </w:r>
          </w:p>
        </w:tc>
        <w:tc>
          <w:tcPr>
            <w:tcW w:w="2600"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77%</w:t>
            </w:r>
          </w:p>
        </w:tc>
        <w:tc>
          <w:tcPr>
            <w:tcW w:w="2300"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r>
      <w:tr w:rsidR="00603EC4" w:rsidRPr="00603EC4" w:rsidTr="00D86481">
        <w:trPr>
          <w:trHeight w:val="300"/>
          <w:jc w:val="center"/>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Men's Basketball</w:t>
            </w:r>
          </w:p>
        </w:tc>
        <w:tc>
          <w:tcPr>
            <w:tcW w:w="2600"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33%</w:t>
            </w:r>
          </w:p>
        </w:tc>
        <w:tc>
          <w:tcPr>
            <w:tcW w:w="2300"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17%</w:t>
            </w:r>
          </w:p>
        </w:tc>
      </w:tr>
      <w:tr w:rsidR="00603EC4" w:rsidRPr="00603EC4" w:rsidTr="00D86481">
        <w:trPr>
          <w:trHeight w:val="300"/>
          <w:jc w:val="center"/>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Men's Golf</w:t>
            </w:r>
          </w:p>
        </w:tc>
        <w:tc>
          <w:tcPr>
            <w:tcW w:w="2600"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25%</w:t>
            </w:r>
          </w:p>
        </w:tc>
        <w:tc>
          <w:tcPr>
            <w:tcW w:w="2300"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50%</w:t>
            </w:r>
          </w:p>
        </w:tc>
      </w:tr>
      <w:tr w:rsidR="00603EC4" w:rsidRPr="00603EC4" w:rsidTr="00D86481">
        <w:trPr>
          <w:trHeight w:val="300"/>
          <w:jc w:val="center"/>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Women's Basketball</w:t>
            </w:r>
          </w:p>
        </w:tc>
        <w:tc>
          <w:tcPr>
            <w:tcW w:w="2600"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83%</w:t>
            </w:r>
          </w:p>
        </w:tc>
        <w:tc>
          <w:tcPr>
            <w:tcW w:w="2300"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17%</w:t>
            </w:r>
          </w:p>
        </w:tc>
      </w:tr>
      <w:tr w:rsidR="00603EC4" w:rsidRPr="00603EC4" w:rsidTr="00D86481">
        <w:trPr>
          <w:trHeight w:val="315"/>
          <w:jc w:val="center"/>
        </w:trPr>
        <w:tc>
          <w:tcPr>
            <w:tcW w:w="2860" w:type="dxa"/>
            <w:tcBorders>
              <w:top w:val="nil"/>
              <w:left w:val="single" w:sz="8" w:space="0" w:color="auto"/>
              <w:bottom w:val="single" w:sz="8"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Women's Golf and Volleyball</w:t>
            </w:r>
          </w:p>
        </w:tc>
        <w:tc>
          <w:tcPr>
            <w:tcW w:w="2600" w:type="dxa"/>
            <w:tcBorders>
              <w:top w:val="nil"/>
              <w:left w:val="nil"/>
              <w:bottom w:val="single" w:sz="8"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62%</w:t>
            </w:r>
          </w:p>
        </w:tc>
        <w:tc>
          <w:tcPr>
            <w:tcW w:w="2300" w:type="dxa"/>
            <w:tcBorders>
              <w:top w:val="nil"/>
              <w:left w:val="nil"/>
              <w:bottom w:val="single" w:sz="8"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15%</w:t>
            </w:r>
          </w:p>
        </w:tc>
      </w:tr>
    </w:tbl>
    <w:p w:rsidR="00603EC4" w:rsidRPr="00603EC4" w:rsidRDefault="00603EC4" w:rsidP="001B4D6A">
      <w:pPr>
        <w:rPr>
          <w:rFonts w:ascii="Arial" w:hAnsi="Arial" w:cs="Arial"/>
          <w:sz w:val="22"/>
          <w:szCs w:val="22"/>
        </w:rPr>
      </w:pPr>
    </w:p>
    <w:p w:rsidR="00071DB2" w:rsidRDefault="00603EC4" w:rsidP="001B4D6A">
      <w:pPr>
        <w:rPr>
          <w:rFonts w:ascii="Arial" w:hAnsi="Arial" w:cs="Arial"/>
          <w:b/>
          <w:sz w:val="22"/>
          <w:szCs w:val="22"/>
        </w:rPr>
      </w:pPr>
      <w:r w:rsidRPr="00603EC4">
        <w:rPr>
          <w:rFonts w:ascii="Arial" w:hAnsi="Arial" w:cs="Arial"/>
          <w:sz w:val="22"/>
          <w:szCs w:val="22"/>
        </w:rPr>
        <w:t>Table 3.E.II outlines the three largest areas of study for athletes, followed by the same three programs across the entire campus population minus the student athlete cohort.</w:t>
      </w:r>
    </w:p>
    <w:p w:rsidR="00071DB2" w:rsidRDefault="00071DB2" w:rsidP="001B4D6A">
      <w:pPr>
        <w:jc w:val="center"/>
        <w:rPr>
          <w:rFonts w:ascii="Arial" w:hAnsi="Arial" w:cs="Arial"/>
          <w:b/>
          <w:sz w:val="22"/>
          <w:szCs w:val="22"/>
        </w:rPr>
      </w:pPr>
    </w:p>
    <w:p w:rsidR="00603EC4" w:rsidRDefault="00603EC4" w:rsidP="001B4D6A">
      <w:pPr>
        <w:jc w:val="center"/>
        <w:rPr>
          <w:rFonts w:ascii="Arial" w:hAnsi="Arial" w:cs="Arial"/>
          <w:b/>
          <w:sz w:val="22"/>
          <w:szCs w:val="22"/>
        </w:rPr>
      </w:pPr>
      <w:r w:rsidRPr="00603EC4">
        <w:rPr>
          <w:rFonts w:ascii="Arial" w:hAnsi="Arial" w:cs="Arial"/>
          <w:b/>
          <w:sz w:val="22"/>
          <w:szCs w:val="22"/>
        </w:rPr>
        <w:t>TABLE 3.E.II</w:t>
      </w:r>
      <w:r w:rsidR="00381A1D">
        <w:rPr>
          <w:rFonts w:ascii="Arial" w:hAnsi="Arial" w:cs="Arial"/>
          <w:b/>
          <w:sz w:val="22"/>
          <w:szCs w:val="22"/>
        </w:rPr>
        <w:t xml:space="preserve">: </w:t>
      </w:r>
      <w:r w:rsidR="00BA7D2F">
        <w:rPr>
          <w:rFonts w:ascii="Arial" w:hAnsi="Arial" w:cs="Arial"/>
          <w:b/>
          <w:sz w:val="22"/>
          <w:szCs w:val="22"/>
        </w:rPr>
        <w:t xml:space="preserve"> STUDENT-ATHLETE &amp; NON-STUDENT-</w:t>
      </w:r>
      <w:r w:rsidRPr="00603EC4">
        <w:rPr>
          <w:rFonts w:ascii="Arial" w:hAnsi="Arial" w:cs="Arial"/>
          <w:b/>
          <w:sz w:val="22"/>
          <w:szCs w:val="22"/>
        </w:rPr>
        <w:t>ATHLETE MAJORS</w:t>
      </w:r>
    </w:p>
    <w:p w:rsidR="00611EDF" w:rsidRPr="00603EC4" w:rsidRDefault="00611EDF" w:rsidP="001B4D6A">
      <w:pPr>
        <w:jc w:val="center"/>
        <w:rPr>
          <w:rFonts w:ascii="Arial" w:hAnsi="Arial" w:cs="Arial"/>
          <w:b/>
          <w:sz w:val="22"/>
          <w:szCs w:val="22"/>
        </w:rPr>
      </w:pPr>
    </w:p>
    <w:tbl>
      <w:tblPr>
        <w:tblW w:w="7759" w:type="dxa"/>
        <w:jc w:val="center"/>
        <w:tblInd w:w="-1794" w:type="dxa"/>
        <w:tblLook w:val="04A0"/>
      </w:tblPr>
      <w:tblGrid>
        <w:gridCol w:w="3185"/>
        <w:gridCol w:w="865"/>
        <w:gridCol w:w="865"/>
        <w:gridCol w:w="865"/>
        <w:gridCol w:w="865"/>
        <w:gridCol w:w="1114"/>
      </w:tblGrid>
      <w:tr w:rsidR="00603EC4" w:rsidRPr="00603EC4" w:rsidTr="00140285">
        <w:trPr>
          <w:trHeight w:val="262"/>
          <w:jc w:val="center"/>
        </w:trPr>
        <w:tc>
          <w:tcPr>
            <w:tcW w:w="3185" w:type="dxa"/>
            <w:vMerge w:val="restart"/>
            <w:tcBorders>
              <w:top w:val="single" w:sz="8" w:space="0" w:color="auto"/>
              <w:left w:val="single" w:sz="8" w:space="0" w:color="auto"/>
              <w:bottom w:val="double" w:sz="6" w:space="0" w:color="000000"/>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 </w:t>
            </w:r>
          </w:p>
        </w:tc>
        <w:tc>
          <w:tcPr>
            <w:tcW w:w="4574" w:type="dxa"/>
            <w:gridSpan w:val="5"/>
            <w:tcBorders>
              <w:top w:val="single" w:sz="8" w:space="0" w:color="auto"/>
              <w:left w:val="nil"/>
              <w:bottom w:val="single" w:sz="4" w:space="0" w:color="auto"/>
              <w:right w:val="single" w:sz="8" w:space="0" w:color="000000"/>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Student Athlete Major Area</w:t>
            </w:r>
          </w:p>
        </w:tc>
      </w:tr>
      <w:tr w:rsidR="00603EC4" w:rsidRPr="00603EC4" w:rsidTr="00140285">
        <w:trPr>
          <w:trHeight w:val="275"/>
          <w:jc w:val="center"/>
        </w:trPr>
        <w:tc>
          <w:tcPr>
            <w:tcW w:w="3185" w:type="dxa"/>
            <w:vMerge/>
            <w:tcBorders>
              <w:top w:val="single" w:sz="8" w:space="0" w:color="auto"/>
              <w:left w:val="single" w:sz="8" w:space="0" w:color="auto"/>
              <w:bottom w:val="double" w:sz="6" w:space="0" w:color="000000"/>
              <w:right w:val="single" w:sz="4" w:space="0" w:color="auto"/>
            </w:tcBorders>
            <w:vAlign w:val="center"/>
            <w:hideMark/>
          </w:tcPr>
          <w:p w:rsidR="00603EC4" w:rsidRPr="00603EC4" w:rsidRDefault="00603EC4" w:rsidP="001B4D6A">
            <w:pPr>
              <w:rPr>
                <w:rFonts w:ascii="Arial" w:eastAsia="Times New Roman" w:hAnsi="Arial" w:cs="Arial"/>
                <w:color w:val="000000"/>
                <w:sz w:val="22"/>
                <w:szCs w:val="22"/>
              </w:rPr>
            </w:pP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2004</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2005</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2006</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2007</w:t>
            </w:r>
          </w:p>
        </w:tc>
        <w:tc>
          <w:tcPr>
            <w:tcW w:w="1114" w:type="dxa"/>
            <w:tcBorders>
              <w:top w:val="nil"/>
              <w:left w:val="nil"/>
              <w:bottom w:val="double" w:sz="6"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2008</w:t>
            </w:r>
          </w:p>
        </w:tc>
      </w:tr>
      <w:tr w:rsidR="00603EC4" w:rsidRPr="00603EC4" w:rsidTr="00140285">
        <w:trPr>
          <w:trHeight w:val="262"/>
          <w:jc w:val="center"/>
        </w:trPr>
        <w:tc>
          <w:tcPr>
            <w:tcW w:w="3185" w:type="dxa"/>
            <w:tcBorders>
              <w:top w:val="nil"/>
              <w:left w:val="single" w:sz="8" w:space="0" w:color="auto"/>
              <w:bottom w:val="single" w:sz="4" w:space="0" w:color="auto"/>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Engineering</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61%</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54%</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49%</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42%</w:t>
            </w:r>
          </w:p>
        </w:tc>
        <w:tc>
          <w:tcPr>
            <w:tcW w:w="1114"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50%</w:t>
            </w:r>
          </w:p>
        </w:tc>
      </w:tr>
      <w:tr w:rsidR="00603EC4" w:rsidRPr="00603EC4" w:rsidTr="00140285">
        <w:trPr>
          <w:trHeight w:val="249"/>
          <w:jc w:val="center"/>
        </w:trPr>
        <w:tc>
          <w:tcPr>
            <w:tcW w:w="3185" w:type="dxa"/>
            <w:tcBorders>
              <w:top w:val="nil"/>
              <w:left w:val="single" w:sz="8" w:space="0" w:color="auto"/>
              <w:bottom w:val="single" w:sz="4" w:space="0" w:color="auto"/>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Business</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14%</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18%</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25%</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30%</w:t>
            </w:r>
          </w:p>
        </w:tc>
        <w:tc>
          <w:tcPr>
            <w:tcW w:w="1114"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26%</w:t>
            </w:r>
          </w:p>
        </w:tc>
      </w:tr>
      <w:tr w:rsidR="00603EC4" w:rsidRPr="00603EC4" w:rsidTr="00140285">
        <w:trPr>
          <w:trHeight w:val="511"/>
          <w:jc w:val="center"/>
        </w:trPr>
        <w:tc>
          <w:tcPr>
            <w:tcW w:w="3185" w:type="dxa"/>
            <w:tcBorders>
              <w:top w:val="nil"/>
              <w:left w:val="single" w:sz="8" w:space="0" w:color="auto"/>
              <w:bottom w:val="nil"/>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OCC Safety &amp; Health</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10%</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13%</w:t>
            </w:r>
          </w:p>
        </w:tc>
        <w:tc>
          <w:tcPr>
            <w:tcW w:w="1114" w:type="dxa"/>
            <w:tcBorders>
              <w:top w:val="nil"/>
              <w:left w:val="nil"/>
              <w:bottom w:val="nil"/>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10%</w:t>
            </w:r>
          </w:p>
        </w:tc>
      </w:tr>
      <w:tr w:rsidR="00603EC4" w:rsidRPr="00603EC4" w:rsidTr="00140285">
        <w:trPr>
          <w:trHeight w:val="275"/>
          <w:jc w:val="center"/>
        </w:trPr>
        <w:tc>
          <w:tcPr>
            <w:tcW w:w="3185" w:type="dxa"/>
            <w:tcBorders>
              <w:top w:val="single" w:sz="8" w:space="0" w:color="auto"/>
              <w:left w:val="single" w:sz="8" w:space="0" w:color="auto"/>
              <w:bottom w:val="single" w:sz="8" w:space="0" w:color="auto"/>
              <w:right w:val="single" w:sz="4" w:space="0" w:color="auto"/>
            </w:tcBorders>
            <w:shd w:val="clear" w:color="000000" w:fill="D8D8D8"/>
            <w:vAlign w:val="bottom"/>
            <w:hideMark/>
          </w:tcPr>
          <w:p w:rsidR="00603EC4" w:rsidRPr="00603EC4" w:rsidRDefault="00603EC4" w:rsidP="001B4D6A">
            <w:pPr>
              <w:rPr>
                <w:rFonts w:ascii="Arial" w:eastAsia="Times New Roman" w:hAnsi="Arial" w:cs="Arial"/>
                <w:b/>
                <w:bCs/>
                <w:sz w:val="22"/>
                <w:szCs w:val="22"/>
              </w:rPr>
            </w:pPr>
            <w:r w:rsidRPr="00603EC4">
              <w:rPr>
                <w:rFonts w:ascii="Arial" w:eastAsia="Times New Roman" w:hAnsi="Arial" w:cs="Arial"/>
                <w:b/>
                <w:bCs/>
                <w:sz w:val="22"/>
                <w:szCs w:val="22"/>
              </w:rPr>
              <w:t>TOTAL</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86%</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83%</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85%</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85%</w:t>
            </w:r>
          </w:p>
        </w:tc>
        <w:tc>
          <w:tcPr>
            <w:tcW w:w="1114" w:type="dxa"/>
            <w:tcBorders>
              <w:top w:val="single" w:sz="8" w:space="0" w:color="auto"/>
              <w:left w:val="nil"/>
              <w:bottom w:val="single" w:sz="8" w:space="0" w:color="auto"/>
              <w:right w:val="single" w:sz="8"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86%</w:t>
            </w:r>
          </w:p>
        </w:tc>
      </w:tr>
      <w:tr w:rsidR="00603EC4" w:rsidRPr="00603EC4" w:rsidTr="00140285">
        <w:trPr>
          <w:trHeight w:val="262"/>
          <w:jc w:val="center"/>
        </w:trPr>
        <w:tc>
          <w:tcPr>
            <w:tcW w:w="3185" w:type="dxa"/>
            <w:vMerge w:val="restart"/>
            <w:tcBorders>
              <w:top w:val="single" w:sz="8" w:space="0" w:color="auto"/>
              <w:left w:val="single" w:sz="8" w:space="0" w:color="auto"/>
              <w:bottom w:val="double" w:sz="6" w:space="0" w:color="000000"/>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 </w:t>
            </w:r>
          </w:p>
        </w:tc>
        <w:tc>
          <w:tcPr>
            <w:tcW w:w="4574" w:type="dxa"/>
            <w:gridSpan w:val="5"/>
            <w:tcBorders>
              <w:top w:val="single" w:sz="8" w:space="0" w:color="auto"/>
              <w:left w:val="nil"/>
              <w:bottom w:val="single" w:sz="4" w:space="0" w:color="auto"/>
              <w:right w:val="single" w:sz="8" w:space="0" w:color="000000"/>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Non-Student Athlete Major Area</w:t>
            </w:r>
          </w:p>
        </w:tc>
      </w:tr>
      <w:tr w:rsidR="00603EC4" w:rsidRPr="00603EC4" w:rsidTr="00140285">
        <w:trPr>
          <w:trHeight w:val="275"/>
          <w:jc w:val="center"/>
        </w:trPr>
        <w:tc>
          <w:tcPr>
            <w:tcW w:w="3185" w:type="dxa"/>
            <w:vMerge/>
            <w:tcBorders>
              <w:top w:val="single" w:sz="8" w:space="0" w:color="auto"/>
              <w:left w:val="single" w:sz="8" w:space="0" w:color="auto"/>
              <w:bottom w:val="double" w:sz="6" w:space="0" w:color="000000"/>
              <w:right w:val="single" w:sz="4" w:space="0" w:color="auto"/>
            </w:tcBorders>
            <w:vAlign w:val="center"/>
            <w:hideMark/>
          </w:tcPr>
          <w:p w:rsidR="00603EC4" w:rsidRPr="00603EC4" w:rsidRDefault="00603EC4" w:rsidP="001B4D6A">
            <w:pPr>
              <w:rPr>
                <w:rFonts w:ascii="Arial" w:eastAsia="Times New Roman" w:hAnsi="Arial" w:cs="Arial"/>
                <w:color w:val="000000"/>
                <w:sz w:val="22"/>
                <w:szCs w:val="22"/>
              </w:rPr>
            </w:pP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2004</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2005</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2006</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2007</w:t>
            </w:r>
          </w:p>
        </w:tc>
        <w:tc>
          <w:tcPr>
            <w:tcW w:w="1114" w:type="dxa"/>
            <w:tcBorders>
              <w:top w:val="nil"/>
              <w:left w:val="nil"/>
              <w:bottom w:val="double" w:sz="6"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2008</w:t>
            </w:r>
          </w:p>
        </w:tc>
      </w:tr>
      <w:tr w:rsidR="00603EC4" w:rsidRPr="00603EC4" w:rsidTr="00140285">
        <w:trPr>
          <w:trHeight w:val="262"/>
          <w:jc w:val="center"/>
        </w:trPr>
        <w:tc>
          <w:tcPr>
            <w:tcW w:w="3185" w:type="dxa"/>
            <w:tcBorders>
              <w:top w:val="nil"/>
              <w:left w:val="single" w:sz="8" w:space="0" w:color="auto"/>
              <w:bottom w:val="single" w:sz="4" w:space="0" w:color="auto"/>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Engineering</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47%</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52%</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55%</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59%</w:t>
            </w:r>
          </w:p>
        </w:tc>
        <w:tc>
          <w:tcPr>
            <w:tcW w:w="1114"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61%</w:t>
            </w:r>
          </w:p>
        </w:tc>
      </w:tr>
      <w:tr w:rsidR="00603EC4" w:rsidRPr="00603EC4" w:rsidTr="00140285">
        <w:trPr>
          <w:trHeight w:val="249"/>
          <w:jc w:val="center"/>
        </w:trPr>
        <w:tc>
          <w:tcPr>
            <w:tcW w:w="3185" w:type="dxa"/>
            <w:tcBorders>
              <w:top w:val="nil"/>
              <w:left w:val="single" w:sz="8" w:space="0" w:color="auto"/>
              <w:bottom w:val="single" w:sz="4" w:space="0" w:color="auto"/>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Business</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10%</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9%</w:t>
            </w:r>
          </w:p>
        </w:tc>
        <w:tc>
          <w:tcPr>
            <w:tcW w:w="1114"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10%</w:t>
            </w:r>
          </w:p>
        </w:tc>
      </w:tr>
      <w:tr w:rsidR="00603EC4" w:rsidRPr="00603EC4" w:rsidTr="00140285">
        <w:trPr>
          <w:trHeight w:val="511"/>
          <w:jc w:val="center"/>
        </w:trPr>
        <w:tc>
          <w:tcPr>
            <w:tcW w:w="3185" w:type="dxa"/>
            <w:tcBorders>
              <w:top w:val="nil"/>
              <w:left w:val="single" w:sz="8" w:space="0" w:color="auto"/>
              <w:bottom w:val="nil"/>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OCC Safety &amp; Health</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w:t>
            </w:r>
          </w:p>
        </w:tc>
        <w:tc>
          <w:tcPr>
            <w:tcW w:w="1114" w:type="dxa"/>
            <w:tcBorders>
              <w:top w:val="nil"/>
              <w:left w:val="nil"/>
              <w:bottom w:val="nil"/>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w:t>
            </w:r>
          </w:p>
        </w:tc>
      </w:tr>
      <w:tr w:rsidR="00603EC4" w:rsidRPr="00603EC4" w:rsidTr="00140285">
        <w:trPr>
          <w:trHeight w:val="275"/>
          <w:jc w:val="center"/>
        </w:trPr>
        <w:tc>
          <w:tcPr>
            <w:tcW w:w="3185" w:type="dxa"/>
            <w:tcBorders>
              <w:top w:val="single" w:sz="8" w:space="0" w:color="auto"/>
              <w:left w:val="single" w:sz="8" w:space="0" w:color="auto"/>
              <w:bottom w:val="single" w:sz="8" w:space="0" w:color="auto"/>
              <w:right w:val="single" w:sz="4" w:space="0" w:color="auto"/>
            </w:tcBorders>
            <w:shd w:val="clear" w:color="000000" w:fill="D8D8D8"/>
            <w:vAlign w:val="bottom"/>
            <w:hideMark/>
          </w:tcPr>
          <w:p w:rsidR="00603EC4" w:rsidRPr="00603EC4" w:rsidRDefault="00603EC4" w:rsidP="001B4D6A">
            <w:pPr>
              <w:rPr>
                <w:rFonts w:ascii="Arial" w:eastAsia="Times New Roman" w:hAnsi="Arial" w:cs="Arial"/>
                <w:b/>
                <w:bCs/>
                <w:sz w:val="22"/>
                <w:szCs w:val="22"/>
              </w:rPr>
            </w:pPr>
            <w:r w:rsidRPr="00603EC4">
              <w:rPr>
                <w:rFonts w:ascii="Arial" w:eastAsia="Times New Roman" w:hAnsi="Arial" w:cs="Arial"/>
                <w:b/>
                <w:bCs/>
                <w:sz w:val="22"/>
                <w:szCs w:val="22"/>
              </w:rPr>
              <w:t>TOTAL</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62%</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68%</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70%</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72%</w:t>
            </w:r>
          </w:p>
        </w:tc>
        <w:tc>
          <w:tcPr>
            <w:tcW w:w="1114" w:type="dxa"/>
            <w:tcBorders>
              <w:top w:val="single" w:sz="8" w:space="0" w:color="auto"/>
              <w:left w:val="nil"/>
              <w:bottom w:val="single" w:sz="8" w:space="0" w:color="auto"/>
              <w:right w:val="single" w:sz="8"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75%</w:t>
            </w:r>
          </w:p>
        </w:tc>
      </w:tr>
    </w:tbl>
    <w:p w:rsidR="00603EC4" w:rsidRPr="00603EC4" w:rsidRDefault="00603EC4" w:rsidP="001B4D6A">
      <w:pPr>
        <w:rPr>
          <w:rFonts w:ascii="Arial" w:eastAsia="Times New Roman" w:hAnsi="Arial" w:cs="Arial"/>
          <w:sz w:val="22"/>
          <w:szCs w:val="22"/>
        </w:rPr>
      </w:pPr>
    </w:p>
    <w:p w:rsidR="009B0BD5" w:rsidRDefault="00381A1D" w:rsidP="001B4D6A">
      <w:pPr>
        <w:rPr>
          <w:rFonts w:ascii="Arial" w:eastAsia="Times New Roman" w:hAnsi="Arial" w:cs="Arial"/>
          <w:sz w:val="22"/>
          <w:szCs w:val="22"/>
        </w:rPr>
      </w:pPr>
      <w:r>
        <w:rPr>
          <w:rFonts w:ascii="Arial" w:eastAsia="Times New Roman" w:hAnsi="Arial" w:cs="Arial"/>
          <w:sz w:val="22"/>
          <w:szCs w:val="22"/>
        </w:rPr>
        <w:t>Figure 3.E.</w:t>
      </w:r>
      <w:r w:rsidR="00F079ED">
        <w:rPr>
          <w:rFonts w:ascii="Arial" w:eastAsia="Times New Roman" w:hAnsi="Arial" w:cs="Arial"/>
          <w:sz w:val="22"/>
          <w:szCs w:val="22"/>
        </w:rPr>
        <w:t>1</w:t>
      </w:r>
      <w:r w:rsidR="00603EC4" w:rsidRPr="00603EC4">
        <w:rPr>
          <w:rFonts w:ascii="Arial" w:eastAsia="Times New Roman" w:hAnsi="Arial" w:cs="Arial"/>
          <w:sz w:val="22"/>
          <w:szCs w:val="22"/>
        </w:rPr>
        <w:t xml:space="preserve"> demonstrates the top five bachelo</w:t>
      </w:r>
      <w:r w:rsidR="00BA7D2F">
        <w:rPr>
          <w:rFonts w:ascii="Arial" w:eastAsia="Times New Roman" w:hAnsi="Arial" w:cs="Arial"/>
          <w:sz w:val="22"/>
          <w:szCs w:val="22"/>
        </w:rPr>
        <w:t>r degrees earned by our student-</w:t>
      </w:r>
      <w:r w:rsidR="00603EC4" w:rsidRPr="00603EC4">
        <w:rPr>
          <w:rFonts w:ascii="Arial" w:eastAsia="Times New Roman" w:hAnsi="Arial" w:cs="Arial"/>
          <w:sz w:val="22"/>
          <w:szCs w:val="22"/>
        </w:rPr>
        <w:t>athletes.</w:t>
      </w:r>
    </w:p>
    <w:p w:rsidR="00603EC4" w:rsidRPr="00603EC4" w:rsidRDefault="00603EC4" w:rsidP="001B4D6A">
      <w:pPr>
        <w:jc w:val="center"/>
        <w:rPr>
          <w:rFonts w:ascii="Arial" w:eastAsia="Times New Roman" w:hAnsi="Arial" w:cs="Arial"/>
          <w:sz w:val="22"/>
          <w:szCs w:val="22"/>
        </w:rPr>
      </w:pPr>
    </w:p>
    <w:p w:rsidR="00381A1D" w:rsidRDefault="00162E50" w:rsidP="001B4D6A">
      <w:pPr>
        <w:jc w:val="center"/>
        <w:rPr>
          <w:rFonts w:ascii="Arial" w:eastAsia="Times New Roman" w:hAnsi="Arial" w:cs="Arial"/>
          <w:b/>
          <w:sz w:val="22"/>
          <w:szCs w:val="22"/>
        </w:rPr>
      </w:pPr>
      <w:r w:rsidRPr="00162E50">
        <w:rPr>
          <w:noProof/>
          <w:szCs w:val="22"/>
          <w:lang w:eastAsia="en-US"/>
        </w:rPr>
        <w:lastRenderedPageBreak/>
        <w:drawing>
          <wp:inline distT="0" distB="0" distL="0" distR="0">
            <wp:extent cx="4687910" cy="3200400"/>
            <wp:effectExtent l="0" t="0" r="0" b="0"/>
            <wp:docPr id="4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9"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381A1D" w:rsidRPr="00603EC4" w:rsidRDefault="00381A1D" w:rsidP="001B4D6A">
      <w:pPr>
        <w:jc w:val="center"/>
        <w:rPr>
          <w:rFonts w:ascii="Arial" w:eastAsia="Times New Roman" w:hAnsi="Arial" w:cs="Arial"/>
          <w:b/>
          <w:sz w:val="22"/>
          <w:szCs w:val="22"/>
        </w:rPr>
      </w:pPr>
      <w:r>
        <w:rPr>
          <w:rFonts w:ascii="Arial" w:eastAsia="Times New Roman" w:hAnsi="Arial" w:cs="Arial"/>
          <w:b/>
          <w:sz w:val="22"/>
          <w:szCs w:val="22"/>
        </w:rPr>
        <w:t>FIGURE 3.E.I:</w:t>
      </w:r>
      <w:r w:rsidRPr="00603EC4">
        <w:rPr>
          <w:rFonts w:ascii="Arial" w:eastAsia="Times New Roman" w:hAnsi="Arial" w:cs="Arial"/>
          <w:b/>
          <w:sz w:val="22"/>
          <w:szCs w:val="22"/>
        </w:rPr>
        <w:t xml:space="preserve"> </w:t>
      </w:r>
      <w:r>
        <w:rPr>
          <w:rFonts w:ascii="Arial" w:eastAsia="Times New Roman" w:hAnsi="Arial" w:cs="Arial"/>
          <w:b/>
          <w:sz w:val="22"/>
          <w:szCs w:val="22"/>
        </w:rPr>
        <w:t>Top Five Bac</w:t>
      </w:r>
      <w:r w:rsidR="00BA7D2F">
        <w:rPr>
          <w:rFonts w:ascii="Arial" w:eastAsia="Times New Roman" w:hAnsi="Arial" w:cs="Arial"/>
          <w:b/>
          <w:sz w:val="22"/>
          <w:szCs w:val="22"/>
        </w:rPr>
        <w:t>helor Degrees Earned By Student-</w:t>
      </w:r>
      <w:r>
        <w:rPr>
          <w:rFonts w:ascii="Arial" w:eastAsia="Times New Roman" w:hAnsi="Arial" w:cs="Arial"/>
          <w:b/>
          <w:sz w:val="22"/>
          <w:szCs w:val="22"/>
        </w:rPr>
        <w:t>Athletes</w:t>
      </w:r>
    </w:p>
    <w:p w:rsidR="00FF10C9" w:rsidRDefault="00FF10C9" w:rsidP="001B4D6A">
      <w:pPr>
        <w:rPr>
          <w:rFonts w:ascii="Arial" w:eastAsia="Times New Roman" w:hAnsi="Arial" w:cs="Arial"/>
          <w:b/>
          <w:bCs/>
          <w:sz w:val="22"/>
          <w:szCs w:val="22"/>
        </w:rPr>
      </w:pPr>
    </w:p>
    <w:p w:rsidR="00603EC4" w:rsidRDefault="00603EC4" w:rsidP="001B4D6A">
      <w:pPr>
        <w:rPr>
          <w:rFonts w:ascii="Arial" w:eastAsia="Times New Roman" w:hAnsi="Arial" w:cs="Arial"/>
          <w:b/>
          <w:bCs/>
          <w:sz w:val="22"/>
          <w:szCs w:val="22"/>
        </w:rPr>
      </w:pPr>
      <w:r w:rsidRPr="00603EC4">
        <w:rPr>
          <w:rFonts w:ascii="Arial" w:eastAsia="Times New Roman" w:hAnsi="Arial" w:cs="Arial"/>
          <w:b/>
          <w:bCs/>
          <w:sz w:val="22"/>
          <w:szCs w:val="22"/>
        </w:rPr>
        <w:t>3.E.4   Athletic budget development is systematic; funds raised for and expended on athletics by alumni, foundations, and other groups shall be subject to the approval of the administration and be accounted for through the institution’s generally accepted practices of documentation and audit.</w:t>
      </w:r>
    </w:p>
    <w:p w:rsidR="000F73D1" w:rsidRPr="00603EC4" w:rsidRDefault="000F73D1"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The Digger Athletic Association (DAA) is a separate 501(c)(3) non-profit corporation that serves as the private-fundraising arm of the Athletic Department.  The DAA raises money for student aid, assistant coaches’ salary supplements, and operational assistance.  All athletic dollars raised or donated are accounted for separately by the Montana Tech Foundation.  All expenditures from these funds are subject to institutional oversight and audit.</w:t>
      </w:r>
    </w:p>
    <w:p w:rsidR="00603EC4" w:rsidRPr="00603EC4" w:rsidRDefault="00603EC4"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A budget for DAA is developed by the Board of Directors of the Association in cooperation with the Athletic Director.  The Chancellor or his designee reviews and approves the budget and budget allocations annually.</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3.E.5    The institution demonstrates its commitment to fair and equitable treatment of both male and female athletes in providing opportunities for participation, financial aid, student-support services, equipment, and access to facilities.</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Montana Tech complies with Title IX.  Montana Tech currently maintains and supports six programs: football, volleyball, men’s and women’s basketball, and men’s and women’s golf.  These programs are funded with similar budgets based on the participation numbers in each program.  In mirrored programs, such as men’s and women’s basketball and men’s and women’s golf, pay and operational dollars provided are equal and our athletic department makes every effort to insure all programs are treated with respect and equ</w:t>
      </w:r>
      <w:r w:rsidR="00BA7D2F">
        <w:rPr>
          <w:rFonts w:ascii="Arial" w:eastAsia="Times New Roman" w:hAnsi="Arial" w:cs="Arial"/>
          <w:sz w:val="22"/>
          <w:szCs w:val="22"/>
        </w:rPr>
        <w:t>ity. Each program gives student-</w:t>
      </w:r>
      <w:r w:rsidRPr="00603EC4">
        <w:rPr>
          <w:rFonts w:ascii="Arial" w:eastAsia="Times New Roman" w:hAnsi="Arial" w:cs="Arial"/>
          <w:sz w:val="22"/>
          <w:szCs w:val="22"/>
        </w:rPr>
        <w:t>athletes the same opportunities for personal growth.  Aid is provided on an</w:t>
      </w:r>
      <w:r w:rsidR="00BA7D2F">
        <w:rPr>
          <w:rFonts w:ascii="Arial" w:eastAsia="Times New Roman" w:hAnsi="Arial" w:cs="Arial"/>
          <w:sz w:val="22"/>
          <w:szCs w:val="22"/>
        </w:rPr>
        <w:t xml:space="preserve"> equitable basis and no student-</w:t>
      </w:r>
      <w:r w:rsidRPr="00603EC4">
        <w:rPr>
          <w:rFonts w:ascii="Arial" w:eastAsia="Times New Roman" w:hAnsi="Arial" w:cs="Arial"/>
          <w:sz w:val="22"/>
          <w:szCs w:val="22"/>
        </w:rPr>
        <w:t>athlete is denied access to equipment and facilities.</w:t>
      </w:r>
    </w:p>
    <w:p w:rsidR="00611EDF" w:rsidRDefault="00611EDF" w:rsidP="001B4D6A">
      <w:pPr>
        <w:rPr>
          <w:rFonts w:ascii="Arial" w:eastAsia="Times New Roman" w:hAnsi="Arial" w:cs="Arial"/>
          <w:b/>
          <w:bCs/>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 xml:space="preserve">3.E.6   The institution publishes its policy concerning the scheduling of intercollegiate practices and completion for both men and woman that avoids conflicts with the instructional calendar, particularly during end-of-term examinations.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lastRenderedPageBreak/>
        <w:t>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Montana Tech is </w:t>
      </w:r>
      <w:r w:rsidR="00BA7D2F">
        <w:rPr>
          <w:rFonts w:ascii="Arial" w:eastAsia="Times New Roman" w:hAnsi="Arial" w:cs="Arial"/>
          <w:sz w:val="22"/>
          <w:szCs w:val="22"/>
        </w:rPr>
        <w:t>firm in its belief that student-athletes attend this U</w:t>
      </w:r>
      <w:r w:rsidRPr="00603EC4">
        <w:rPr>
          <w:rFonts w:ascii="Arial" w:eastAsia="Times New Roman" w:hAnsi="Arial" w:cs="Arial"/>
          <w:sz w:val="22"/>
          <w:szCs w:val="22"/>
        </w:rPr>
        <w:t>niversity to graduate.  To help the student athletes in their quest, all programs conduct grade checks and require mandatory study ha</w:t>
      </w:r>
      <w:r w:rsidR="00BA7D2F">
        <w:rPr>
          <w:rFonts w:ascii="Arial" w:eastAsia="Times New Roman" w:hAnsi="Arial" w:cs="Arial"/>
          <w:sz w:val="22"/>
          <w:szCs w:val="22"/>
        </w:rPr>
        <w:t>ll for freshman athletes.  The U</w:t>
      </w:r>
      <w:r w:rsidRPr="00603EC4">
        <w:rPr>
          <w:rFonts w:ascii="Arial" w:eastAsia="Times New Roman" w:hAnsi="Arial" w:cs="Arial"/>
          <w:sz w:val="22"/>
          <w:szCs w:val="22"/>
        </w:rPr>
        <w:t>niversity has a written policy that prohibits any practices or games during finals week.  As a re</w:t>
      </w:r>
      <w:r w:rsidR="002F1F68">
        <w:rPr>
          <w:rFonts w:ascii="Arial" w:eastAsia="Times New Roman" w:hAnsi="Arial" w:cs="Arial"/>
          <w:sz w:val="22"/>
          <w:szCs w:val="22"/>
        </w:rPr>
        <w:t xml:space="preserve">sult, </w:t>
      </w:r>
      <w:r w:rsidR="00BA7D2F">
        <w:rPr>
          <w:rFonts w:ascii="Arial" w:eastAsia="Times New Roman" w:hAnsi="Arial" w:cs="Arial"/>
          <w:sz w:val="22"/>
          <w:szCs w:val="22"/>
        </w:rPr>
        <w:t>student-</w:t>
      </w:r>
      <w:r w:rsidRPr="00603EC4">
        <w:rPr>
          <w:rFonts w:ascii="Arial" w:eastAsia="Times New Roman" w:hAnsi="Arial" w:cs="Arial"/>
          <w:sz w:val="22"/>
          <w:szCs w:val="22"/>
        </w:rPr>
        <w:t xml:space="preserve">athletes outperform the student general population in graduation rates and GPA. </w:t>
      </w:r>
    </w:p>
    <w:p w:rsidR="00603EC4" w:rsidRPr="00603EC4" w:rsidRDefault="00603EC4"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Montana Tech and the Frontier Conference have placed</w:t>
      </w:r>
      <w:r w:rsidR="00BA7D2F">
        <w:rPr>
          <w:rFonts w:ascii="Arial" w:eastAsia="Times New Roman" w:hAnsi="Arial" w:cs="Arial"/>
          <w:sz w:val="22"/>
          <w:szCs w:val="22"/>
        </w:rPr>
        <w:t xml:space="preserve"> a high priority on the student-</w:t>
      </w:r>
      <w:r w:rsidRPr="00603EC4">
        <w:rPr>
          <w:rFonts w:ascii="Arial" w:eastAsia="Times New Roman" w:hAnsi="Arial" w:cs="Arial"/>
          <w:sz w:val="22"/>
          <w:szCs w:val="22"/>
        </w:rPr>
        <w:t xml:space="preserve">athlete’s time.  When scheduling games, the conference and the coaches make every effort to avoid missing class time.  Recently, the football and golf seasons were shortened to provide less travel time and </w:t>
      </w:r>
      <w:r w:rsidR="00BA7D2F">
        <w:rPr>
          <w:rFonts w:ascii="Arial" w:eastAsia="Times New Roman" w:hAnsi="Arial" w:cs="Arial"/>
          <w:sz w:val="22"/>
          <w:szCs w:val="22"/>
        </w:rPr>
        <w:t>more classroom time for student-</w:t>
      </w:r>
      <w:r w:rsidRPr="00603EC4">
        <w:rPr>
          <w:rFonts w:ascii="Arial" w:eastAsia="Times New Roman" w:hAnsi="Arial" w:cs="Arial"/>
          <w:sz w:val="22"/>
          <w:szCs w:val="22"/>
        </w:rPr>
        <w:t xml:space="preserve">athletes.  </w:t>
      </w:r>
    </w:p>
    <w:p w:rsidR="00603EC4" w:rsidRPr="00603EC4" w:rsidRDefault="00603EC4" w:rsidP="001B4D6A">
      <w:pPr>
        <w:rPr>
          <w:rFonts w:ascii="Arial" w:eastAsia="Times New Roman" w:hAnsi="Arial" w:cs="Arial"/>
          <w:sz w:val="22"/>
          <w:szCs w:val="22"/>
        </w:rPr>
      </w:pPr>
    </w:p>
    <w:p w:rsidR="00603EC4" w:rsidRDefault="00BA7D2F" w:rsidP="001B4D6A">
      <w:pPr>
        <w:rPr>
          <w:rFonts w:ascii="Arial" w:eastAsia="Times New Roman" w:hAnsi="Arial" w:cs="Arial"/>
          <w:sz w:val="22"/>
          <w:szCs w:val="22"/>
        </w:rPr>
      </w:pPr>
      <w:r>
        <w:rPr>
          <w:rFonts w:ascii="Arial" w:eastAsia="Times New Roman" w:hAnsi="Arial" w:cs="Arial"/>
          <w:sz w:val="22"/>
          <w:szCs w:val="22"/>
        </w:rPr>
        <w:t>If a student-</w:t>
      </w:r>
      <w:r w:rsidR="00603EC4" w:rsidRPr="00603EC4">
        <w:rPr>
          <w:rFonts w:ascii="Arial" w:eastAsia="Times New Roman" w:hAnsi="Arial" w:cs="Arial"/>
          <w:sz w:val="22"/>
          <w:szCs w:val="22"/>
        </w:rPr>
        <w:t>athlete has a scheduling conflict with a course, the student is required to inform the instructor pr</w:t>
      </w:r>
      <w:r>
        <w:rPr>
          <w:rFonts w:ascii="Arial" w:eastAsia="Times New Roman" w:hAnsi="Arial" w:cs="Arial"/>
          <w:sz w:val="22"/>
          <w:szCs w:val="22"/>
        </w:rPr>
        <w:t>ior to missing the class.  The Student H</w:t>
      </w:r>
      <w:r w:rsidR="00603EC4" w:rsidRPr="00603EC4">
        <w:rPr>
          <w:rFonts w:ascii="Arial" w:eastAsia="Times New Roman" w:hAnsi="Arial" w:cs="Arial"/>
          <w:sz w:val="22"/>
          <w:szCs w:val="22"/>
        </w:rPr>
        <w:t>andbook clearly states that any work be completed prior to leaving or made up with the consent of the instructor.  At Montana Tech, ac</w:t>
      </w:r>
      <w:r>
        <w:rPr>
          <w:rFonts w:ascii="Arial" w:eastAsia="Times New Roman" w:hAnsi="Arial" w:cs="Arial"/>
          <w:sz w:val="22"/>
          <w:szCs w:val="22"/>
        </w:rPr>
        <w:t xml:space="preserve">ademics </w:t>
      </w:r>
      <w:r w:rsidR="007E1E49">
        <w:rPr>
          <w:rFonts w:ascii="Arial" w:eastAsia="Times New Roman" w:hAnsi="Arial" w:cs="Arial"/>
          <w:sz w:val="22"/>
          <w:szCs w:val="22"/>
        </w:rPr>
        <w:t>come</w:t>
      </w:r>
      <w:r>
        <w:rPr>
          <w:rFonts w:ascii="Arial" w:eastAsia="Times New Roman" w:hAnsi="Arial" w:cs="Arial"/>
          <w:sz w:val="22"/>
          <w:szCs w:val="22"/>
        </w:rPr>
        <w:t xml:space="preserve"> first and student-</w:t>
      </w:r>
      <w:r w:rsidR="00603EC4" w:rsidRPr="00603EC4">
        <w:rPr>
          <w:rFonts w:ascii="Arial" w:eastAsia="Times New Roman" w:hAnsi="Arial" w:cs="Arial"/>
          <w:sz w:val="22"/>
          <w:szCs w:val="22"/>
        </w:rPr>
        <w:t xml:space="preserve">athletes are not penalized for missing practice or training </w:t>
      </w:r>
      <w:r w:rsidR="00603EC4" w:rsidRPr="007F7AE6">
        <w:rPr>
          <w:rFonts w:ascii="Arial" w:eastAsia="Times New Roman" w:hAnsi="Arial" w:cs="Arial"/>
          <w:sz w:val="22"/>
          <w:szCs w:val="22"/>
        </w:rPr>
        <w:t xml:space="preserve">sessions due to class requirements.  </w:t>
      </w:r>
    </w:p>
    <w:p w:rsidR="007E1E49" w:rsidRDefault="007E1E49" w:rsidP="001B4D6A">
      <w:pPr>
        <w:rPr>
          <w:rFonts w:ascii="Arial" w:eastAsia="Times New Roman" w:hAnsi="Arial" w:cs="Arial"/>
          <w:sz w:val="22"/>
          <w:szCs w:val="22"/>
        </w:rPr>
      </w:pPr>
    </w:p>
    <w:p w:rsidR="00A268B2" w:rsidRDefault="00A268B2" w:rsidP="00A268B2">
      <w:pPr>
        <w:rPr>
          <w:rFonts w:ascii="Arial" w:eastAsia="Times New Roman" w:hAnsi="Arial" w:cs="Arial"/>
          <w:b/>
          <w:sz w:val="22"/>
          <w:szCs w:val="22"/>
        </w:rPr>
      </w:pPr>
      <w:r w:rsidRPr="007E1E49">
        <w:rPr>
          <w:rFonts w:ascii="Arial" w:eastAsia="Times New Roman" w:hAnsi="Arial" w:cs="Arial"/>
          <w:b/>
          <w:sz w:val="22"/>
          <w:szCs w:val="22"/>
        </w:rPr>
        <w:t xml:space="preserve">Policy 3.1 </w:t>
      </w:r>
      <w:r>
        <w:rPr>
          <w:rFonts w:ascii="Arial" w:eastAsia="Times New Roman" w:hAnsi="Arial" w:cs="Arial"/>
          <w:b/>
          <w:sz w:val="22"/>
          <w:szCs w:val="22"/>
        </w:rPr>
        <w:t>–I</w:t>
      </w:r>
      <w:r w:rsidRPr="007E1E49">
        <w:rPr>
          <w:rFonts w:ascii="Arial" w:eastAsia="Times New Roman" w:hAnsi="Arial" w:cs="Arial"/>
          <w:b/>
          <w:sz w:val="22"/>
          <w:szCs w:val="22"/>
        </w:rPr>
        <w:t>nstitutional Advertising, Student Recruitment and Representation of Accreditation Status</w:t>
      </w:r>
    </w:p>
    <w:p w:rsidR="00A268B2" w:rsidRDefault="00A268B2" w:rsidP="00A268B2">
      <w:pPr>
        <w:rPr>
          <w:rFonts w:ascii="Arial" w:eastAsia="Times New Roman" w:hAnsi="Arial" w:cs="Arial"/>
          <w:b/>
          <w:sz w:val="22"/>
          <w:szCs w:val="22"/>
        </w:rPr>
      </w:pPr>
    </w:p>
    <w:p w:rsidR="0061723A" w:rsidRDefault="0061723A" w:rsidP="0061723A">
      <w:pPr>
        <w:rPr>
          <w:rFonts w:ascii="Arial" w:hAnsi="Arial" w:cs="Arial"/>
          <w:sz w:val="22"/>
          <w:szCs w:val="22"/>
        </w:rPr>
      </w:pPr>
      <w:r>
        <w:rPr>
          <w:rFonts w:ascii="Arial" w:eastAsia="Times New Roman" w:hAnsi="Arial" w:cs="Arial"/>
          <w:b/>
          <w:sz w:val="22"/>
          <w:szCs w:val="22"/>
        </w:rPr>
        <w:t>Policy 3.1.A – Advertising, Publications, Promotional Literature</w:t>
      </w:r>
    </w:p>
    <w:p w:rsidR="0061723A" w:rsidRDefault="0061723A" w:rsidP="0061723A">
      <w:pPr>
        <w:rPr>
          <w:rFonts w:ascii="Arial" w:eastAsia="Times New Roman" w:hAnsi="Arial" w:cs="Arial"/>
          <w:sz w:val="22"/>
          <w:szCs w:val="22"/>
        </w:rPr>
      </w:pPr>
    </w:p>
    <w:p w:rsidR="0061723A" w:rsidRDefault="0061723A" w:rsidP="0061723A">
      <w:pPr>
        <w:rPr>
          <w:rFonts w:ascii="Arial" w:eastAsia="Times New Roman" w:hAnsi="Arial" w:cs="Arial"/>
          <w:sz w:val="22"/>
          <w:szCs w:val="22"/>
        </w:rPr>
      </w:pPr>
      <w:r>
        <w:rPr>
          <w:rFonts w:ascii="Arial" w:eastAsia="Times New Roman" w:hAnsi="Arial" w:cs="Arial"/>
          <w:sz w:val="22"/>
          <w:szCs w:val="22"/>
        </w:rPr>
        <w:t>Institutional recruitment and advertising are primarily the responsibility of the Advancement and Development staff, consisting of the Directors of Public Relations &amp; Marketing, Enrollment Management, Career Services, Alumni Affairs, Montana Tech Foundation and the Associate Vice Chancellor of Student Affairs, lead by the Vice Chancellor of Development and Student Services.  For most part, advertising and publications are handled by Public Relations and Marketing, in consultation with the Advancement and Development staff.</w:t>
      </w:r>
    </w:p>
    <w:p w:rsidR="0061723A" w:rsidRDefault="0061723A" w:rsidP="0061723A">
      <w:pPr>
        <w:rPr>
          <w:rFonts w:ascii="Arial" w:eastAsia="Times New Roman" w:hAnsi="Arial" w:cs="Arial"/>
          <w:sz w:val="22"/>
          <w:szCs w:val="22"/>
        </w:rPr>
      </w:pPr>
    </w:p>
    <w:p w:rsidR="0061723A" w:rsidRDefault="0061723A" w:rsidP="0061723A">
      <w:pPr>
        <w:rPr>
          <w:rFonts w:ascii="Arial" w:eastAsia="Times New Roman" w:hAnsi="Arial" w:cs="Arial"/>
          <w:sz w:val="22"/>
          <w:szCs w:val="22"/>
        </w:rPr>
      </w:pPr>
      <w:r>
        <w:rPr>
          <w:rFonts w:ascii="Arial" w:eastAsia="Times New Roman" w:hAnsi="Arial" w:cs="Arial"/>
          <w:sz w:val="22"/>
          <w:szCs w:val="22"/>
        </w:rPr>
        <w:t xml:space="preserve">All publications are designed to present a positive accurate image of the University.  The marketing materials are conceived in-house and produced in cooperation with the University of Montana print shop.  All recruiting materials are created within the guidelines of the National Association of College Admission Counseling (NACAC) Statement of Principles of Good Practice.   </w:t>
      </w:r>
    </w:p>
    <w:p w:rsidR="0061723A" w:rsidRDefault="0061723A" w:rsidP="0061723A">
      <w:pPr>
        <w:rPr>
          <w:rFonts w:ascii="Arial" w:eastAsia="Times New Roman" w:hAnsi="Arial" w:cs="Arial"/>
          <w:sz w:val="22"/>
          <w:szCs w:val="22"/>
        </w:rPr>
      </w:pPr>
    </w:p>
    <w:p w:rsidR="0061723A" w:rsidRDefault="0061723A" w:rsidP="0061723A">
      <w:pPr>
        <w:rPr>
          <w:rFonts w:ascii="Arial" w:eastAsia="Times New Roman" w:hAnsi="Arial" w:cs="Arial"/>
          <w:sz w:val="22"/>
          <w:szCs w:val="22"/>
        </w:rPr>
      </w:pPr>
      <w:r>
        <w:rPr>
          <w:rFonts w:ascii="Arial" w:eastAsia="Times New Roman" w:hAnsi="Arial" w:cs="Arial"/>
          <w:sz w:val="22"/>
          <w:szCs w:val="22"/>
        </w:rPr>
        <w:t>In 2005 Montana Tech contracted with higher education consultant Stamats in branding exercise.  One of the outcomes of this relationship was a “brand creative” workbook.  This established colors, logos, images fonts for the school that are used consistently in our publications.</w:t>
      </w:r>
    </w:p>
    <w:p w:rsidR="0061723A" w:rsidRDefault="0061723A" w:rsidP="0061723A">
      <w:pPr>
        <w:rPr>
          <w:rFonts w:ascii="Arial" w:eastAsia="Times New Roman" w:hAnsi="Arial" w:cs="Arial"/>
          <w:sz w:val="22"/>
          <w:szCs w:val="22"/>
        </w:rPr>
      </w:pPr>
    </w:p>
    <w:p w:rsidR="0061723A" w:rsidRPr="00581220" w:rsidRDefault="0061723A" w:rsidP="0061723A">
      <w:pPr>
        <w:rPr>
          <w:rFonts w:ascii="Arial" w:eastAsia="Times New Roman" w:hAnsi="Arial" w:cs="Arial"/>
          <w:sz w:val="22"/>
          <w:szCs w:val="22"/>
        </w:rPr>
      </w:pPr>
      <w:r>
        <w:rPr>
          <w:rFonts w:ascii="Arial" w:eastAsia="Times New Roman" w:hAnsi="Arial" w:cs="Arial"/>
          <w:sz w:val="22"/>
          <w:szCs w:val="22"/>
        </w:rPr>
        <w:t xml:space="preserve">Graduate placement continues to be a strength and is a foundation for many of Montana Tech’s marketing publications.  The </w:t>
      </w:r>
      <w:r w:rsidRPr="00581220">
        <w:rPr>
          <w:rFonts w:ascii="Arial" w:hAnsi="Arial" w:cs="Arial"/>
          <w:i/>
          <w:iCs/>
          <w:sz w:val="22"/>
          <w:szCs w:val="22"/>
        </w:rPr>
        <w:t>Get Into It!</w:t>
      </w:r>
      <w:r>
        <w:rPr>
          <w:rFonts w:ascii="Arial" w:hAnsi="Arial" w:cs="Arial"/>
          <w:i/>
          <w:iCs/>
          <w:sz w:val="22"/>
          <w:szCs w:val="22"/>
        </w:rPr>
        <w:t xml:space="preserve"> </w:t>
      </w:r>
      <w:r w:rsidRPr="00581220">
        <w:rPr>
          <w:rFonts w:ascii="Arial" w:hAnsi="Arial" w:cs="Arial"/>
          <w:sz w:val="22"/>
          <w:szCs w:val="22"/>
        </w:rPr>
        <w:t xml:space="preserve"> tagline was selected because it exemplifies the student’s experience at Montana Tech.  Tech takes great pride in its hands-on practical learning environment</w:t>
      </w:r>
      <w:r>
        <w:rPr>
          <w:rFonts w:ascii="Arial" w:hAnsi="Arial" w:cs="Arial"/>
          <w:sz w:val="22"/>
          <w:szCs w:val="22"/>
        </w:rPr>
        <w:t>.</w:t>
      </w:r>
      <w:r w:rsidRPr="003155EF">
        <w:rPr>
          <w:rFonts w:ascii="Arial" w:hAnsi="Arial" w:cs="Arial"/>
          <w:sz w:val="22"/>
          <w:szCs w:val="22"/>
        </w:rPr>
        <w:t xml:space="preserve"> </w:t>
      </w:r>
      <w:r>
        <w:rPr>
          <w:rFonts w:ascii="Arial" w:hAnsi="Arial" w:cs="Arial"/>
          <w:sz w:val="22"/>
          <w:szCs w:val="22"/>
        </w:rPr>
        <w:t>(See Exhibit 3.D.XIV: Montana Tech Publications.)</w:t>
      </w:r>
    </w:p>
    <w:p w:rsidR="0061723A" w:rsidRDefault="0061723A" w:rsidP="0061723A">
      <w:pPr>
        <w:rPr>
          <w:rFonts w:ascii="Arial" w:eastAsia="Times New Roman" w:hAnsi="Arial" w:cs="Arial"/>
          <w:sz w:val="22"/>
          <w:szCs w:val="22"/>
        </w:rPr>
      </w:pPr>
    </w:p>
    <w:p w:rsidR="0061723A" w:rsidRDefault="0061723A" w:rsidP="0061723A">
      <w:pPr>
        <w:rPr>
          <w:rFonts w:ascii="Arial" w:hAnsi="Arial" w:cs="Arial"/>
          <w:sz w:val="22"/>
          <w:szCs w:val="22"/>
        </w:rPr>
      </w:pPr>
      <w:r>
        <w:rPr>
          <w:rFonts w:ascii="Arial" w:eastAsia="Times New Roman" w:hAnsi="Arial" w:cs="Arial"/>
          <w:b/>
          <w:sz w:val="22"/>
          <w:szCs w:val="22"/>
        </w:rPr>
        <w:t>Policy 3.1.B – Student Recruitment for Admissions</w:t>
      </w:r>
    </w:p>
    <w:p w:rsidR="0061723A" w:rsidRDefault="0061723A" w:rsidP="0061723A">
      <w:pPr>
        <w:rPr>
          <w:rFonts w:ascii="Arial" w:hAnsi="Arial" w:cs="Arial"/>
          <w:sz w:val="22"/>
          <w:szCs w:val="22"/>
        </w:rPr>
      </w:pPr>
    </w:p>
    <w:p w:rsidR="0061723A" w:rsidRDefault="0061723A" w:rsidP="0061723A">
      <w:pPr>
        <w:rPr>
          <w:rFonts w:ascii="Arial" w:hAnsi="Arial" w:cs="Arial"/>
          <w:sz w:val="22"/>
          <w:szCs w:val="22"/>
        </w:rPr>
      </w:pPr>
      <w:r>
        <w:rPr>
          <w:rFonts w:ascii="Arial" w:eastAsia="Times New Roman" w:hAnsi="Arial" w:cs="Arial"/>
          <w:sz w:val="22"/>
          <w:szCs w:val="22"/>
        </w:rPr>
        <w:t xml:space="preserve">Enrollment Services is responsible for recruitment and processes all applications for admission.  </w:t>
      </w:r>
      <w:r>
        <w:rPr>
          <w:rFonts w:ascii="Arial" w:hAnsi="Arial" w:cs="Arial"/>
          <w:sz w:val="22"/>
          <w:szCs w:val="22"/>
        </w:rPr>
        <w:t xml:space="preserve">Recruitment activities encompass most of the traditional means used on campus around the country, such as high school visits, college fairs, Tech Days, hosting campus visitors, direct mail, and e-mail.  </w:t>
      </w:r>
    </w:p>
    <w:p w:rsidR="0061723A" w:rsidRDefault="0061723A" w:rsidP="0061723A">
      <w:pPr>
        <w:rPr>
          <w:rFonts w:ascii="Arial" w:hAnsi="Arial" w:cs="Arial"/>
          <w:sz w:val="22"/>
          <w:szCs w:val="22"/>
        </w:rPr>
      </w:pPr>
    </w:p>
    <w:p w:rsidR="0061723A" w:rsidRDefault="0061723A" w:rsidP="0061723A">
      <w:pPr>
        <w:rPr>
          <w:rFonts w:ascii="Arial" w:hAnsi="Arial" w:cs="Arial"/>
          <w:sz w:val="22"/>
          <w:szCs w:val="22"/>
        </w:rPr>
      </w:pPr>
      <w:r>
        <w:rPr>
          <w:rFonts w:ascii="Arial" w:hAnsi="Arial" w:cs="Arial"/>
          <w:sz w:val="22"/>
          <w:szCs w:val="22"/>
        </w:rPr>
        <w:lastRenderedPageBreak/>
        <w:t>When the offices of Enrollment Services and Enrollment Processing were created, the role of the Admission Counselor evolved.  Now called Enrollment Representatives the responsibility of these individuals has been expanded to include a conscious effort to impact retention.  With the expanded duties came expanded opportunities.  Enrollment Representatives now have the opportunity to advance via a career ladder.  This effort to retain Enrollment Representatives is critical when establishing relationships with high school counselors and seeing to the retention of new students.</w:t>
      </w:r>
    </w:p>
    <w:p w:rsidR="0061723A" w:rsidRDefault="0061723A" w:rsidP="0061723A">
      <w:pPr>
        <w:rPr>
          <w:rFonts w:ascii="Arial" w:hAnsi="Arial" w:cs="Arial"/>
          <w:sz w:val="22"/>
          <w:szCs w:val="22"/>
        </w:rPr>
      </w:pPr>
    </w:p>
    <w:p w:rsidR="0061723A" w:rsidRDefault="0061723A" w:rsidP="0061723A">
      <w:pPr>
        <w:rPr>
          <w:rFonts w:ascii="Arial" w:hAnsi="Arial" w:cs="Arial"/>
          <w:sz w:val="22"/>
          <w:szCs w:val="22"/>
        </w:rPr>
      </w:pPr>
      <w:r>
        <w:rPr>
          <w:rFonts w:ascii="Arial" w:hAnsi="Arial" w:cs="Arial"/>
          <w:sz w:val="22"/>
          <w:szCs w:val="22"/>
        </w:rPr>
        <w:t>Enrollment Representatives are encouraged, through promotion and other means, to participate in state, regional, and national professional organizations.  They are further encouraged to take leadership roles in these organizations.  As a part of this professional development industry standards and ethics are experienced and maintained.</w:t>
      </w:r>
    </w:p>
    <w:p w:rsidR="0061723A" w:rsidRDefault="0061723A" w:rsidP="0061723A">
      <w:pPr>
        <w:rPr>
          <w:rFonts w:ascii="Arial" w:hAnsi="Arial" w:cs="Arial"/>
          <w:sz w:val="22"/>
          <w:szCs w:val="22"/>
        </w:rPr>
      </w:pPr>
    </w:p>
    <w:p w:rsidR="0061723A" w:rsidRDefault="0061723A" w:rsidP="0061723A">
      <w:pPr>
        <w:rPr>
          <w:rFonts w:ascii="Arial" w:hAnsi="Arial" w:cs="Arial"/>
          <w:sz w:val="22"/>
          <w:szCs w:val="22"/>
        </w:rPr>
      </w:pPr>
      <w:r>
        <w:rPr>
          <w:rFonts w:ascii="Arial" w:eastAsia="Times New Roman" w:hAnsi="Arial" w:cs="Arial"/>
          <w:sz w:val="22"/>
          <w:szCs w:val="22"/>
        </w:rPr>
        <w:t xml:space="preserve">Graduate recruitment is largely conducted by faculty and the graduate studies office.  </w:t>
      </w:r>
    </w:p>
    <w:p w:rsidR="0061723A" w:rsidRDefault="0061723A" w:rsidP="0061723A">
      <w:pPr>
        <w:rPr>
          <w:rFonts w:ascii="Arial" w:hAnsi="Arial" w:cs="Arial"/>
          <w:sz w:val="22"/>
          <w:szCs w:val="22"/>
        </w:rPr>
      </w:pPr>
    </w:p>
    <w:p w:rsidR="0061723A" w:rsidRDefault="0061723A" w:rsidP="0061723A">
      <w:pPr>
        <w:rPr>
          <w:rFonts w:ascii="Arial" w:hAnsi="Arial" w:cs="Arial"/>
          <w:sz w:val="22"/>
          <w:szCs w:val="22"/>
        </w:rPr>
      </w:pPr>
      <w:r>
        <w:rPr>
          <w:rFonts w:ascii="Arial" w:eastAsia="Times New Roman" w:hAnsi="Arial" w:cs="Arial"/>
          <w:b/>
          <w:sz w:val="22"/>
          <w:szCs w:val="22"/>
        </w:rPr>
        <w:t>Policy 3.1.C – Representation of Accreditation Status</w:t>
      </w:r>
    </w:p>
    <w:p w:rsidR="0061723A" w:rsidRDefault="0061723A" w:rsidP="0061723A">
      <w:pPr>
        <w:rPr>
          <w:rFonts w:ascii="Arial" w:hAnsi="Arial" w:cs="Arial"/>
          <w:sz w:val="22"/>
          <w:szCs w:val="22"/>
        </w:rPr>
      </w:pPr>
    </w:p>
    <w:p w:rsidR="0061723A" w:rsidRPr="00581220" w:rsidRDefault="0061723A" w:rsidP="0061723A">
      <w:pPr>
        <w:rPr>
          <w:rFonts w:ascii="Arial" w:eastAsia="Times New Roman" w:hAnsi="Arial" w:cs="Arial"/>
          <w:sz w:val="22"/>
          <w:szCs w:val="22"/>
        </w:rPr>
      </w:pPr>
      <w:r>
        <w:rPr>
          <w:rFonts w:ascii="Arial" w:hAnsi="Arial" w:cs="Arial"/>
          <w:sz w:val="22"/>
          <w:szCs w:val="22"/>
        </w:rPr>
        <w:t>Montana Tech complies with the NWCCU policy regarding representation of accredited status. Accreditation and memberships are stated on page 4 of the catalog.  (See Exhibit 3.A.III</w:t>
      </w:r>
      <w:hyperlink r:id="rId80" w:history="1">
        <w:r w:rsidR="008E2295">
          <w:rPr>
            <w:rStyle w:val="Hyperlink"/>
            <w:rFonts w:ascii="Arial" w:hAnsi="Arial" w:cs="Arial"/>
            <w:sz w:val="22"/>
            <w:szCs w:val="22"/>
          </w:rPr>
          <w:t xml:space="preserve">: </w:t>
        </w:r>
        <w:r w:rsidR="008E2295" w:rsidRPr="005502A3">
          <w:rPr>
            <w:rStyle w:val="Hyperlink"/>
            <w:rFonts w:ascii="Arial" w:hAnsi="Arial" w:cs="Arial"/>
            <w:i/>
            <w:sz w:val="22"/>
            <w:szCs w:val="22"/>
          </w:rPr>
          <w:t>2009/2010 Montana Tech Catalog</w:t>
        </w:r>
      </w:hyperlink>
      <w:r>
        <w:rPr>
          <w:rFonts w:ascii="Arial" w:hAnsi="Arial" w:cs="Arial"/>
          <w:sz w:val="22"/>
          <w:szCs w:val="22"/>
        </w:rPr>
        <w:t xml:space="preserve">.) </w:t>
      </w:r>
    </w:p>
    <w:p w:rsidR="0061723A" w:rsidRPr="00581220" w:rsidRDefault="0061723A" w:rsidP="0061723A">
      <w:pPr>
        <w:rPr>
          <w:rFonts w:ascii="Arial" w:hAnsi="Arial" w:cs="Arial"/>
          <w:sz w:val="22"/>
          <w:szCs w:val="22"/>
        </w:rPr>
      </w:pPr>
    </w:p>
    <w:p w:rsidR="00F31EE6" w:rsidRPr="007F7AE6" w:rsidRDefault="00F31EE6" w:rsidP="001B4D6A">
      <w:pPr>
        <w:rPr>
          <w:rFonts w:ascii="Arial" w:eastAsia="Times New Roman" w:hAnsi="Arial" w:cs="Arial"/>
          <w:sz w:val="22"/>
          <w:szCs w:val="22"/>
        </w:rPr>
      </w:pPr>
      <w:r w:rsidRPr="007F7AE6">
        <w:rPr>
          <w:rFonts w:ascii="Arial" w:eastAsia="Times New Roman" w:hAnsi="Arial" w:cs="Arial"/>
          <w:sz w:val="22"/>
          <w:szCs w:val="22"/>
        </w:rPr>
        <w:br w:type="page"/>
      </w:r>
    </w:p>
    <w:p w:rsidR="009B0BD5" w:rsidRPr="007F7AE6" w:rsidRDefault="00E21B15" w:rsidP="001B4D6A">
      <w:pPr>
        <w:pStyle w:val="ListParagraph"/>
        <w:ind w:left="0"/>
        <w:rPr>
          <w:sz w:val="22"/>
          <w:szCs w:val="22"/>
        </w:rPr>
      </w:pPr>
      <w:r w:rsidRPr="00E21B15">
        <w:rPr>
          <w:noProof/>
          <w:sz w:val="20"/>
          <w:szCs w:val="20"/>
        </w:rPr>
        <w:lastRenderedPageBreak/>
        <w:pict>
          <v:roundrect id="_x0000_s1051" style="position:absolute;margin-left:-22.2pt;margin-top:10.2pt;width:523.8pt;height:711.15pt;z-index:-251589120" arcsize="10923f" fillcolor="#bfbfbf">
            <v:fill opacity="19661f"/>
          </v:roundrect>
        </w:pict>
      </w:r>
    </w:p>
    <w:p w:rsidR="009B0BD5" w:rsidRPr="007F7AE6" w:rsidRDefault="009B0BD5" w:rsidP="001B4D6A">
      <w:pPr>
        <w:pStyle w:val="ListParagraph"/>
        <w:ind w:left="0"/>
        <w:rPr>
          <w:sz w:val="22"/>
          <w:szCs w:val="22"/>
        </w:rPr>
      </w:pPr>
    </w:p>
    <w:p w:rsidR="009B0BD5" w:rsidRPr="007F7AE6" w:rsidRDefault="009B0BD5" w:rsidP="001B4D6A">
      <w:pPr>
        <w:pStyle w:val="ListParagraph"/>
        <w:ind w:left="0"/>
        <w:rPr>
          <w:sz w:val="22"/>
          <w:szCs w:val="22"/>
        </w:rPr>
      </w:pPr>
    </w:p>
    <w:p w:rsidR="008D370A" w:rsidRPr="007F7AE6" w:rsidRDefault="008D370A" w:rsidP="001B4D6A">
      <w:pPr>
        <w:pStyle w:val="ListParagraph"/>
        <w:ind w:left="0"/>
        <w:rPr>
          <w:sz w:val="20"/>
          <w:szCs w:val="20"/>
        </w:rPr>
      </w:pPr>
      <w:r w:rsidRPr="007F7AE6">
        <w:rPr>
          <w:sz w:val="20"/>
          <w:szCs w:val="20"/>
        </w:rPr>
        <w:t xml:space="preserve">In summary Montana Tech has identified both strengths and opportunities for students and areas in which it intends to move forward: </w:t>
      </w:r>
    </w:p>
    <w:p w:rsidR="008D370A" w:rsidRPr="007F7AE6" w:rsidRDefault="008D370A" w:rsidP="001B4D6A">
      <w:pPr>
        <w:pStyle w:val="ListParagraph"/>
        <w:ind w:left="0"/>
        <w:rPr>
          <w:sz w:val="20"/>
          <w:szCs w:val="20"/>
        </w:rPr>
      </w:pPr>
    </w:p>
    <w:p w:rsidR="008D370A" w:rsidRPr="007F7AE6" w:rsidRDefault="008D370A" w:rsidP="001B4D6A">
      <w:pPr>
        <w:pStyle w:val="ListParagraph"/>
        <w:ind w:left="0"/>
        <w:rPr>
          <w:sz w:val="20"/>
          <w:szCs w:val="20"/>
        </w:rPr>
      </w:pPr>
      <w:r w:rsidRPr="007F7AE6">
        <w:rPr>
          <w:sz w:val="20"/>
          <w:szCs w:val="20"/>
        </w:rPr>
        <w:t>The past two years have been an interesting and exciting time for Montana Tech’s student services organization.  In that timeframe Montana Tech lost its Registrar, Associate Registrar, and Assistant Registrar to retirement and alternative career moves.  This loss of institutional knowledge left a void, but also provided this campus with a unique opportunity to redefine our student-service (cu</w:t>
      </w:r>
      <w:r w:rsidR="00BA7D2F" w:rsidRPr="007F7AE6">
        <w:rPr>
          <w:sz w:val="20"/>
          <w:szCs w:val="20"/>
        </w:rPr>
        <w:t>stomer-service) model.  In the S</w:t>
      </w:r>
      <w:r w:rsidRPr="007F7AE6">
        <w:rPr>
          <w:sz w:val="20"/>
          <w:szCs w:val="20"/>
        </w:rPr>
        <w:t>pring of 2008, Montana Tech made a deliberate move to a student-centered organization and focused delivery of services entirely on the student experience.  The goal was to improve service, contribute to increased retention by eliminating the run-around effect, and better serve faculty by streamlining processes and procedures.</w:t>
      </w:r>
    </w:p>
    <w:p w:rsidR="008D370A" w:rsidRPr="007F7AE6" w:rsidRDefault="008D370A" w:rsidP="001B4D6A">
      <w:pPr>
        <w:pStyle w:val="ListParagraph"/>
        <w:ind w:left="0"/>
        <w:rPr>
          <w:sz w:val="20"/>
          <w:szCs w:val="20"/>
        </w:rPr>
      </w:pPr>
    </w:p>
    <w:p w:rsidR="008D370A" w:rsidRPr="007F7AE6" w:rsidRDefault="008D370A" w:rsidP="001B4D6A">
      <w:pPr>
        <w:rPr>
          <w:rFonts w:ascii="Arial" w:hAnsi="Arial" w:cs="Arial"/>
          <w:sz w:val="20"/>
          <w:szCs w:val="20"/>
        </w:rPr>
      </w:pPr>
      <w:r w:rsidRPr="007F7AE6">
        <w:rPr>
          <w:rFonts w:ascii="Arial" w:hAnsi="Arial" w:cs="Arial"/>
          <w:sz w:val="20"/>
          <w:szCs w:val="20"/>
        </w:rPr>
        <w:t xml:space="preserve">As we examine the </w:t>
      </w:r>
      <w:r w:rsidRPr="007F7AE6">
        <w:rPr>
          <w:rFonts w:ascii="Arial" w:hAnsi="Arial" w:cs="Arial"/>
          <w:b/>
          <w:sz w:val="20"/>
          <w:szCs w:val="20"/>
        </w:rPr>
        <w:t>strengths</w:t>
      </w:r>
      <w:r w:rsidRPr="007F7AE6">
        <w:rPr>
          <w:rFonts w:ascii="Arial" w:hAnsi="Arial" w:cs="Arial"/>
          <w:sz w:val="20"/>
          <w:szCs w:val="20"/>
        </w:rPr>
        <w:t xml:space="preserve"> of the student services group, the following highlights are worth repeating:</w:t>
      </w:r>
    </w:p>
    <w:p w:rsidR="008D370A" w:rsidRPr="007F7AE6" w:rsidRDefault="008D370A" w:rsidP="001B4D6A">
      <w:pPr>
        <w:rPr>
          <w:rFonts w:ascii="Arial" w:hAnsi="Arial" w:cs="Arial"/>
          <w:sz w:val="20"/>
          <w:szCs w:val="20"/>
        </w:rPr>
      </w:pPr>
    </w:p>
    <w:p w:rsidR="008D370A" w:rsidRPr="007F7AE6" w:rsidRDefault="008D370A" w:rsidP="001B4D6A">
      <w:pPr>
        <w:pStyle w:val="ListParagraph"/>
        <w:numPr>
          <w:ilvl w:val="0"/>
          <w:numId w:val="33"/>
        </w:numPr>
        <w:rPr>
          <w:sz w:val="20"/>
          <w:szCs w:val="20"/>
        </w:rPr>
      </w:pPr>
      <w:r w:rsidRPr="007F7AE6">
        <w:rPr>
          <w:b/>
          <w:sz w:val="20"/>
          <w:szCs w:val="20"/>
        </w:rPr>
        <w:t>RECORD ENROLLMENT IN 2009</w:t>
      </w:r>
      <w:r w:rsidRPr="007F7AE6">
        <w:rPr>
          <w:sz w:val="20"/>
          <w:szCs w:val="20"/>
        </w:rPr>
        <w:t xml:space="preserve"> - History was made </w:t>
      </w:r>
      <w:r w:rsidR="00BA7D2F" w:rsidRPr="007F7AE6">
        <w:rPr>
          <w:sz w:val="20"/>
          <w:szCs w:val="20"/>
        </w:rPr>
        <w:t>as more students attended this F</w:t>
      </w:r>
      <w:r w:rsidRPr="007F7AE6">
        <w:rPr>
          <w:sz w:val="20"/>
          <w:szCs w:val="20"/>
        </w:rPr>
        <w:t>all than ever before.   Montana Te</w:t>
      </w:r>
      <w:r w:rsidR="00BA7D2F" w:rsidRPr="007F7AE6">
        <w:rPr>
          <w:sz w:val="20"/>
          <w:szCs w:val="20"/>
        </w:rPr>
        <w:t>ch’s overall enrollment was</w:t>
      </w:r>
      <w:r w:rsidR="00547C09" w:rsidRPr="007F7AE6">
        <w:rPr>
          <w:sz w:val="20"/>
          <w:szCs w:val="20"/>
        </w:rPr>
        <w:t xml:space="preserve"> up 12% with 2,694</w:t>
      </w:r>
      <w:r w:rsidRPr="007F7AE6">
        <w:rPr>
          <w:sz w:val="20"/>
          <w:szCs w:val="20"/>
        </w:rPr>
        <w:t xml:space="preserve"> students com</w:t>
      </w:r>
      <w:r w:rsidR="00BA7D2F" w:rsidRPr="007F7AE6">
        <w:rPr>
          <w:sz w:val="20"/>
          <w:szCs w:val="20"/>
        </w:rPr>
        <w:t>pared to the 2,402 students in F</w:t>
      </w:r>
      <w:r w:rsidRPr="007F7AE6">
        <w:rPr>
          <w:sz w:val="20"/>
          <w:szCs w:val="20"/>
        </w:rPr>
        <w:t xml:space="preserve">all </w:t>
      </w:r>
      <w:r w:rsidR="002F1F68" w:rsidRPr="007F7AE6">
        <w:rPr>
          <w:sz w:val="20"/>
          <w:szCs w:val="20"/>
        </w:rPr>
        <w:t>20</w:t>
      </w:r>
      <w:r w:rsidRPr="007F7AE6">
        <w:rPr>
          <w:sz w:val="20"/>
          <w:szCs w:val="20"/>
        </w:rPr>
        <w:t>08.  Montana Tech’</w:t>
      </w:r>
      <w:r w:rsidR="00BA7D2F" w:rsidRPr="007F7AE6">
        <w:rPr>
          <w:sz w:val="20"/>
          <w:szCs w:val="20"/>
        </w:rPr>
        <w:t>s North Campus headcount was</w:t>
      </w:r>
      <w:r w:rsidR="00547C09" w:rsidRPr="007F7AE6">
        <w:rPr>
          <w:sz w:val="20"/>
          <w:szCs w:val="20"/>
        </w:rPr>
        <w:t xml:space="preserve"> up 10</w:t>
      </w:r>
      <w:r w:rsidRPr="007F7AE6">
        <w:rPr>
          <w:sz w:val="20"/>
          <w:szCs w:val="20"/>
        </w:rPr>
        <w:t xml:space="preserve">% from 1,980 to </w:t>
      </w:r>
      <w:r w:rsidR="00547C09" w:rsidRPr="007F7AE6">
        <w:rPr>
          <w:sz w:val="20"/>
          <w:szCs w:val="20"/>
        </w:rPr>
        <w:t>2,187</w:t>
      </w:r>
      <w:r w:rsidR="00BA7D2F" w:rsidRPr="007F7AE6">
        <w:rPr>
          <w:sz w:val="20"/>
          <w:szCs w:val="20"/>
        </w:rPr>
        <w:t>, and South Campus headcount was</w:t>
      </w:r>
      <w:r w:rsidRPr="007F7AE6">
        <w:rPr>
          <w:sz w:val="20"/>
          <w:szCs w:val="20"/>
        </w:rPr>
        <w:t xml:space="preserve"> up 20% from 422 to </w:t>
      </w:r>
      <w:r w:rsidR="00547C09" w:rsidRPr="007F7AE6">
        <w:rPr>
          <w:sz w:val="20"/>
          <w:szCs w:val="20"/>
        </w:rPr>
        <w:t>507</w:t>
      </w:r>
      <w:r w:rsidRPr="007F7AE6">
        <w:rPr>
          <w:sz w:val="20"/>
          <w:szCs w:val="20"/>
        </w:rPr>
        <w:t xml:space="preserve">.  With this enrollment, </w:t>
      </w:r>
      <w:r w:rsidR="003E3FE2" w:rsidRPr="007F7AE6">
        <w:rPr>
          <w:sz w:val="20"/>
          <w:szCs w:val="20"/>
        </w:rPr>
        <w:t>Montana Tech</w:t>
      </w:r>
      <w:r w:rsidRPr="007F7AE6">
        <w:rPr>
          <w:sz w:val="20"/>
          <w:szCs w:val="20"/>
        </w:rPr>
        <w:t xml:space="preserve"> celebrate</w:t>
      </w:r>
      <w:r w:rsidR="003E3FE2" w:rsidRPr="007F7AE6">
        <w:rPr>
          <w:sz w:val="20"/>
          <w:szCs w:val="20"/>
        </w:rPr>
        <w:t>s</w:t>
      </w:r>
      <w:r w:rsidRPr="007F7AE6">
        <w:rPr>
          <w:sz w:val="20"/>
          <w:szCs w:val="20"/>
        </w:rPr>
        <w:t xml:space="preserve"> a significant milestone toward achieving the enrollment goals slated in our VISION 2025. As we look to the challenges of the future, these enrollment figures significantly strengthen our position. </w:t>
      </w:r>
    </w:p>
    <w:p w:rsidR="008D370A" w:rsidRPr="007F7AE6" w:rsidRDefault="008D370A" w:rsidP="001B4D6A">
      <w:pPr>
        <w:pStyle w:val="ListParagraph"/>
        <w:numPr>
          <w:ilvl w:val="0"/>
          <w:numId w:val="33"/>
        </w:numPr>
        <w:rPr>
          <w:sz w:val="20"/>
          <w:szCs w:val="20"/>
        </w:rPr>
      </w:pPr>
      <w:r w:rsidRPr="007F7AE6">
        <w:rPr>
          <w:b/>
          <w:sz w:val="20"/>
          <w:szCs w:val="20"/>
        </w:rPr>
        <w:t xml:space="preserve">EXCELLENT PLACEMENT RATES – </w:t>
      </w:r>
      <w:r w:rsidRPr="007F7AE6">
        <w:rPr>
          <w:sz w:val="20"/>
          <w:szCs w:val="20"/>
        </w:rPr>
        <w:t>Montana</w:t>
      </w:r>
      <w:r w:rsidRPr="007F7AE6">
        <w:rPr>
          <w:b/>
          <w:sz w:val="20"/>
          <w:szCs w:val="20"/>
        </w:rPr>
        <w:t xml:space="preserve"> </w:t>
      </w:r>
      <w:r w:rsidRPr="007F7AE6">
        <w:rPr>
          <w:sz w:val="20"/>
          <w:szCs w:val="20"/>
        </w:rPr>
        <w:t>Tech continues to enjoy outstanding placement of our graduates.  This success is not by accident.  Our entire team works to solidify our relationship with industry representatives and continually looks for new opportunities for our graduates.   Over the past 10 years, 96% of the graduates seeking employment have been successful.</w:t>
      </w:r>
    </w:p>
    <w:p w:rsidR="008D370A" w:rsidRPr="007F7AE6" w:rsidRDefault="00135239" w:rsidP="001B4D6A">
      <w:pPr>
        <w:pStyle w:val="ListParagraph"/>
        <w:numPr>
          <w:ilvl w:val="0"/>
          <w:numId w:val="33"/>
        </w:numPr>
        <w:rPr>
          <w:sz w:val="20"/>
          <w:szCs w:val="20"/>
        </w:rPr>
      </w:pPr>
      <w:r w:rsidRPr="007F7AE6">
        <w:rPr>
          <w:b/>
          <w:sz w:val="20"/>
          <w:szCs w:val="20"/>
        </w:rPr>
        <w:t>ONE-STOP-</w:t>
      </w:r>
      <w:r w:rsidR="008D370A" w:rsidRPr="007F7AE6">
        <w:rPr>
          <w:b/>
          <w:sz w:val="20"/>
          <w:szCs w:val="20"/>
        </w:rPr>
        <w:t xml:space="preserve">SHOP – </w:t>
      </w:r>
      <w:r w:rsidR="008D370A" w:rsidRPr="007F7AE6">
        <w:rPr>
          <w:sz w:val="20"/>
          <w:szCs w:val="20"/>
        </w:rPr>
        <w:t>The creation of an office that will answer the vast majori</w:t>
      </w:r>
      <w:r w:rsidR="00BA7D2F" w:rsidRPr="007F7AE6">
        <w:rPr>
          <w:sz w:val="20"/>
          <w:szCs w:val="20"/>
        </w:rPr>
        <w:t>ty of our students’ and faculty</w:t>
      </w:r>
      <w:r w:rsidR="003E3FE2" w:rsidRPr="007F7AE6">
        <w:rPr>
          <w:sz w:val="20"/>
          <w:szCs w:val="20"/>
        </w:rPr>
        <w:t>’</w:t>
      </w:r>
      <w:r w:rsidR="008D370A" w:rsidRPr="007F7AE6">
        <w:rPr>
          <w:sz w:val="20"/>
          <w:szCs w:val="20"/>
        </w:rPr>
        <w:t>s questions regarding admissions, registration, and financial aid provides an unprecedented level of service to our student</w:t>
      </w:r>
      <w:r w:rsidR="00BA7D2F" w:rsidRPr="007F7AE6">
        <w:rPr>
          <w:sz w:val="20"/>
          <w:szCs w:val="20"/>
        </w:rPr>
        <w:t>s.  This environment of student-</w:t>
      </w:r>
      <w:r w:rsidR="008D370A" w:rsidRPr="007F7AE6">
        <w:rPr>
          <w:sz w:val="20"/>
          <w:szCs w:val="20"/>
        </w:rPr>
        <w:t xml:space="preserve">centered services assists students as they make their </w:t>
      </w:r>
      <w:r w:rsidRPr="007F7AE6">
        <w:rPr>
          <w:sz w:val="20"/>
          <w:szCs w:val="20"/>
        </w:rPr>
        <w:t xml:space="preserve">way </w:t>
      </w:r>
      <w:r w:rsidR="008D370A" w:rsidRPr="007F7AE6">
        <w:rPr>
          <w:sz w:val="20"/>
          <w:szCs w:val="20"/>
        </w:rPr>
        <w:t>through their academic career.</w:t>
      </w:r>
    </w:p>
    <w:p w:rsidR="008D370A" w:rsidRPr="007F7AE6" w:rsidRDefault="008D370A" w:rsidP="001B4D6A">
      <w:pPr>
        <w:pStyle w:val="ListParagraph"/>
        <w:numPr>
          <w:ilvl w:val="0"/>
          <w:numId w:val="33"/>
        </w:numPr>
        <w:rPr>
          <w:sz w:val="20"/>
          <w:szCs w:val="20"/>
        </w:rPr>
      </w:pPr>
      <w:r w:rsidRPr="007F7AE6">
        <w:rPr>
          <w:b/>
          <w:sz w:val="20"/>
          <w:szCs w:val="20"/>
        </w:rPr>
        <w:t xml:space="preserve">NEW SCHOLARSHIP APPLICATION PROCESS – </w:t>
      </w:r>
      <w:r w:rsidRPr="007F7AE6">
        <w:rPr>
          <w:sz w:val="20"/>
          <w:szCs w:val="20"/>
        </w:rPr>
        <w:t>The</w:t>
      </w:r>
      <w:r w:rsidRPr="007F7AE6">
        <w:rPr>
          <w:b/>
          <w:sz w:val="20"/>
          <w:szCs w:val="20"/>
        </w:rPr>
        <w:t xml:space="preserve"> </w:t>
      </w:r>
      <w:r w:rsidRPr="007F7AE6">
        <w:rPr>
          <w:sz w:val="20"/>
          <w:szCs w:val="20"/>
        </w:rPr>
        <w:t>STARS online scholarship application was implemented for returning students in 2</w:t>
      </w:r>
      <w:r w:rsidR="00BA7D2F" w:rsidRPr="007F7AE6">
        <w:rPr>
          <w:sz w:val="20"/>
          <w:szCs w:val="20"/>
        </w:rPr>
        <w:t>009-10 and new students in the S</w:t>
      </w:r>
      <w:r w:rsidRPr="007F7AE6">
        <w:rPr>
          <w:sz w:val="20"/>
          <w:szCs w:val="20"/>
        </w:rPr>
        <w:t>pring of 2010. STARS walks students through the scholarship application process with an easy to follow scholarship application and matches them to available aid based on their responses to the application questionnaire.  This process has improved the accuracy of awards, synchronized the donor’s wishes with the appropriate student, provided efficiency to a formerly cumbersome process, and minimized human error in scholarship allocation.</w:t>
      </w:r>
    </w:p>
    <w:p w:rsidR="008D370A" w:rsidRPr="007F7AE6" w:rsidRDefault="008D370A" w:rsidP="001B4D6A">
      <w:pPr>
        <w:pStyle w:val="ListParagraph"/>
        <w:numPr>
          <w:ilvl w:val="0"/>
          <w:numId w:val="33"/>
        </w:numPr>
        <w:rPr>
          <w:sz w:val="20"/>
          <w:szCs w:val="20"/>
        </w:rPr>
      </w:pPr>
      <w:r w:rsidRPr="007F7AE6">
        <w:rPr>
          <w:b/>
          <w:sz w:val="20"/>
          <w:szCs w:val="20"/>
        </w:rPr>
        <w:t xml:space="preserve">FIRST YEAR EXPERIENCE (FYE) </w:t>
      </w:r>
      <w:r w:rsidR="00E87ADB" w:rsidRPr="007F7AE6">
        <w:rPr>
          <w:b/>
          <w:sz w:val="20"/>
          <w:szCs w:val="20"/>
        </w:rPr>
        <w:t xml:space="preserve"> </w:t>
      </w:r>
      <w:r w:rsidRPr="007F7AE6">
        <w:rPr>
          <w:b/>
          <w:sz w:val="20"/>
          <w:szCs w:val="20"/>
        </w:rPr>
        <w:t xml:space="preserve">– </w:t>
      </w:r>
      <w:r w:rsidRPr="007F7AE6">
        <w:rPr>
          <w:sz w:val="20"/>
          <w:szCs w:val="20"/>
        </w:rPr>
        <w:t>At least two times per month</w:t>
      </w:r>
      <w:r w:rsidR="00BA7D2F" w:rsidRPr="007F7AE6">
        <w:rPr>
          <w:sz w:val="20"/>
          <w:szCs w:val="20"/>
        </w:rPr>
        <w:t>,</w:t>
      </w:r>
      <w:r w:rsidRPr="007F7AE6">
        <w:rPr>
          <w:sz w:val="20"/>
          <w:szCs w:val="20"/>
        </w:rPr>
        <w:t xml:space="preserve"> the </w:t>
      </w:r>
      <w:r w:rsidR="00E87ADB" w:rsidRPr="007F7AE6">
        <w:rPr>
          <w:sz w:val="20"/>
          <w:szCs w:val="20"/>
        </w:rPr>
        <w:t>Student Life Staff</w:t>
      </w:r>
      <w:r w:rsidRPr="007F7AE6">
        <w:rPr>
          <w:sz w:val="20"/>
          <w:szCs w:val="20"/>
        </w:rPr>
        <w:t xml:space="preserve"> meets to discuss the experiences of our first-year students.  The goal of this group is to increase third semester retention and provide a robust college experience to each freshman and transfer student on campus. </w:t>
      </w:r>
    </w:p>
    <w:p w:rsidR="008D370A" w:rsidRPr="007F7AE6" w:rsidRDefault="008D370A" w:rsidP="00417C95">
      <w:pPr>
        <w:pStyle w:val="ListParagraph"/>
        <w:numPr>
          <w:ilvl w:val="0"/>
          <w:numId w:val="37"/>
        </w:numPr>
        <w:rPr>
          <w:b/>
          <w:bCs/>
          <w:sz w:val="20"/>
          <w:szCs w:val="20"/>
        </w:rPr>
      </w:pPr>
      <w:r w:rsidRPr="007F7AE6">
        <w:rPr>
          <w:b/>
          <w:sz w:val="20"/>
          <w:szCs w:val="20"/>
        </w:rPr>
        <w:t xml:space="preserve">ENHANCED USE OF TECHNOLOGY – </w:t>
      </w:r>
      <w:r w:rsidRPr="007F7AE6">
        <w:rPr>
          <w:sz w:val="20"/>
          <w:szCs w:val="20"/>
        </w:rPr>
        <w:t>Montana Tech has invested significant time and energy in the purchase and development of computer systems as well as time and energy in training staff to utilize these systems.  Montana Te</w:t>
      </w:r>
      <w:r w:rsidR="00417C95" w:rsidRPr="007F7AE6">
        <w:rPr>
          <w:sz w:val="20"/>
          <w:szCs w:val="20"/>
        </w:rPr>
        <w:t>ch is the first and only University</w:t>
      </w:r>
      <w:r w:rsidRPr="007F7AE6">
        <w:rPr>
          <w:sz w:val="20"/>
          <w:szCs w:val="20"/>
        </w:rPr>
        <w:t xml:space="preserve"> in Montana to convert to a paperless student record system.  The in-house student recruitment database is now web-enabled so recruiters can access the student records on the road and faculty can access from home.  The applications of the SIS system (Banner) have been expanded to include two mid-term grade postings for students (once at 20 days into the </w:t>
      </w:r>
      <w:r w:rsidR="005807F9" w:rsidRPr="007F7AE6">
        <w:rPr>
          <w:sz w:val="20"/>
          <w:szCs w:val="20"/>
        </w:rPr>
        <w:t>semester</w:t>
      </w:r>
      <w:r w:rsidRPr="007F7AE6">
        <w:rPr>
          <w:sz w:val="20"/>
          <w:szCs w:val="20"/>
        </w:rPr>
        <w:t xml:space="preserve"> </w:t>
      </w:r>
      <w:r w:rsidR="005807F9" w:rsidRPr="007F7AE6">
        <w:rPr>
          <w:sz w:val="20"/>
          <w:szCs w:val="20"/>
        </w:rPr>
        <w:t xml:space="preserve">and </w:t>
      </w:r>
      <w:r w:rsidRPr="007F7AE6">
        <w:rPr>
          <w:sz w:val="20"/>
          <w:szCs w:val="20"/>
        </w:rPr>
        <w:t>once at 40 days).  Additionally, wait listing</w:t>
      </w:r>
      <w:r w:rsidR="007F7AE6">
        <w:rPr>
          <w:sz w:val="20"/>
          <w:szCs w:val="20"/>
        </w:rPr>
        <w:t>,</w:t>
      </w:r>
      <w:r w:rsidRPr="007F7AE6">
        <w:rPr>
          <w:sz w:val="20"/>
          <w:szCs w:val="20"/>
        </w:rPr>
        <w:t xml:space="preserve"> enhanced prerequisite ch</w:t>
      </w:r>
      <w:r w:rsidR="00417C95" w:rsidRPr="007F7AE6">
        <w:rPr>
          <w:sz w:val="20"/>
          <w:szCs w:val="20"/>
        </w:rPr>
        <w:t>ecking</w:t>
      </w:r>
      <w:r w:rsidR="007F7AE6">
        <w:rPr>
          <w:sz w:val="20"/>
          <w:szCs w:val="20"/>
        </w:rPr>
        <w:t>, and housing application</w:t>
      </w:r>
      <w:r w:rsidR="00417C95" w:rsidRPr="007F7AE6">
        <w:rPr>
          <w:sz w:val="20"/>
          <w:szCs w:val="20"/>
        </w:rPr>
        <w:t xml:space="preserve"> were implemented in the F</w:t>
      </w:r>
      <w:r w:rsidRPr="007F7AE6">
        <w:rPr>
          <w:sz w:val="20"/>
          <w:szCs w:val="20"/>
        </w:rPr>
        <w:t>all of 2009.  All of this is done with the philosophy of utilizing technology to enhance the human interaction and experience, not to replace it.</w:t>
      </w:r>
    </w:p>
    <w:p w:rsidR="00483F20" w:rsidRDefault="008D370A" w:rsidP="001B4D6A">
      <w:pPr>
        <w:pStyle w:val="ListParagraph"/>
        <w:numPr>
          <w:ilvl w:val="0"/>
          <w:numId w:val="33"/>
        </w:numPr>
        <w:rPr>
          <w:sz w:val="20"/>
          <w:szCs w:val="20"/>
        </w:rPr>
      </w:pPr>
      <w:r w:rsidRPr="007F7AE6">
        <w:rPr>
          <w:b/>
          <w:sz w:val="20"/>
          <w:szCs w:val="20"/>
        </w:rPr>
        <w:t xml:space="preserve">A STRONG BRAND AND IMAGE CAMPAIGN - </w:t>
      </w:r>
      <w:r w:rsidRPr="007F7AE6">
        <w:rPr>
          <w:sz w:val="20"/>
          <w:szCs w:val="20"/>
        </w:rPr>
        <w:t xml:space="preserve">On July 1, 2006, Montana Tech rolled out a new brand and image campaign aimed at differentiating our campus.  The tagline introduced at that time was </w:t>
      </w:r>
      <w:r w:rsidRPr="007F7AE6">
        <w:rPr>
          <w:i/>
          <w:iCs/>
          <w:sz w:val="20"/>
          <w:szCs w:val="20"/>
        </w:rPr>
        <w:t>Get Into It!.</w:t>
      </w:r>
      <w:r w:rsidRPr="007F7AE6">
        <w:rPr>
          <w:sz w:val="20"/>
          <w:szCs w:val="20"/>
        </w:rPr>
        <w:t xml:space="preserve">  This tagline was selected because it exemplifies the student’s experience at Montana Tech.  Montana Tech takes great pride in its hands-on practical learning environment, and this tagline speaks directly to that philosophy.  The selection process included a consultant-driven </w:t>
      </w:r>
    </w:p>
    <w:p w:rsidR="00483F20" w:rsidRDefault="00483F20" w:rsidP="00483F20">
      <w:pPr>
        <w:pStyle w:val="ListParagraph"/>
        <w:ind w:left="360"/>
        <w:rPr>
          <w:b/>
          <w:sz w:val="20"/>
          <w:szCs w:val="20"/>
        </w:rPr>
      </w:pPr>
    </w:p>
    <w:p w:rsidR="00483F20" w:rsidRDefault="00483F20" w:rsidP="00483F20">
      <w:pPr>
        <w:pStyle w:val="ListParagraph"/>
        <w:ind w:left="360"/>
        <w:rPr>
          <w:b/>
          <w:sz w:val="20"/>
          <w:szCs w:val="20"/>
        </w:rPr>
      </w:pPr>
    </w:p>
    <w:p w:rsidR="00483F20" w:rsidRDefault="00E21B15" w:rsidP="00483F20">
      <w:pPr>
        <w:pStyle w:val="ListParagraph"/>
        <w:ind w:left="360"/>
        <w:rPr>
          <w:b/>
          <w:sz w:val="20"/>
          <w:szCs w:val="20"/>
        </w:rPr>
      </w:pPr>
      <w:r w:rsidRPr="00E21B15">
        <w:rPr>
          <w:rFonts w:ascii="Times New Roman" w:hAnsi="Times New Roman" w:cs="Times New Roman"/>
          <w:noProof/>
          <w:sz w:val="20"/>
          <w:szCs w:val="20"/>
          <w:lang w:eastAsia="zh-TW"/>
        </w:rPr>
        <w:pict>
          <v:roundrect id="_x0000_s1065" style="position:absolute;left:0;text-align:left;margin-left:-10.2pt;margin-top:0;width:523.8pt;height:612.9pt;z-index:-251582976" arcsize="10923f" fillcolor="#bfbfbf">
            <v:fill opacity="19661f"/>
          </v:roundrect>
        </w:pict>
      </w:r>
    </w:p>
    <w:p w:rsidR="00483F20" w:rsidRDefault="00483F20" w:rsidP="00483F20">
      <w:pPr>
        <w:pStyle w:val="ListParagraph"/>
        <w:ind w:left="360"/>
        <w:rPr>
          <w:b/>
          <w:sz w:val="20"/>
          <w:szCs w:val="20"/>
        </w:rPr>
      </w:pPr>
    </w:p>
    <w:p w:rsidR="008D370A" w:rsidRPr="007F7AE6" w:rsidRDefault="008D370A" w:rsidP="00483F20">
      <w:pPr>
        <w:pStyle w:val="ListParagraph"/>
        <w:ind w:left="360"/>
        <w:rPr>
          <w:sz w:val="20"/>
          <w:szCs w:val="20"/>
        </w:rPr>
      </w:pPr>
      <w:r w:rsidRPr="007F7AE6">
        <w:rPr>
          <w:sz w:val="20"/>
          <w:szCs w:val="20"/>
        </w:rPr>
        <w:t xml:space="preserve">self-audit involving prospective students, current students, faculty, staff, and alumni.  The </w:t>
      </w:r>
      <w:r w:rsidRPr="007F7AE6">
        <w:rPr>
          <w:i/>
          <w:iCs/>
          <w:sz w:val="20"/>
          <w:szCs w:val="20"/>
        </w:rPr>
        <w:t>Get Into It!</w:t>
      </w:r>
      <w:r w:rsidRPr="007F7AE6">
        <w:rPr>
          <w:sz w:val="20"/>
          <w:szCs w:val="20"/>
        </w:rPr>
        <w:t xml:space="preserve"> brand portrays the following brand attributes: Quality Focused, Refreshingly Real, Exceptionally Driven, Impressively Personal, and Unexpectedly Affordable.  The brand portrays Montana Tech as a challenging institution for hands-on, success-oriented students.  The campus continues to use the </w:t>
      </w:r>
      <w:r w:rsidRPr="007F7AE6">
        <w:rPr>
          <w:i/>
          <w:sz w:val="20"/>
          <w:szCs w:val="20"/>
        </w:rPr>
        <w:t>Get Into It!</w:t>
      </w:r>
      <w:r w:rsidRPr="007F7AE6">
        <w:rPr>
          <w:sz w:val="20"/>
          <w:szCs w:val="20"/>
        </w:rPr>
        <w:t xml:space="preserve"> tagline and will develop the next phase </w:t>
      </w:r>
      <w:r w:rsidR="005807F9" w:rsidRPr="007F7AE6">
        <w:rPr>
          <w:sz w:val="20"/>
          <w:szCs w:val="20"/>
        </w:rPr>
        <w:t>of the marketing plan during</w:t>
      </w:r>
      <w:r w:rsidR="00417C95" w:rsidRPr="007F7AE6">
        <w:rPr>
          <w:sz w:val="20"/>
          <w:szCs w:val="20"/>
        </w:rPr>
        <w:t xml:space="preserve"> S</w:t>
      </w:r>
      <w:r w:rsidRPr="007F7AE6">
        <w:rPr>
          <w:sz w:val="20"/>
          <w:szCs w:val="20"/>
        </w:rPr>
        <w:t>pri</w:t>
      </w:r>
      <w:r w:rsidR="005807F9" w:rsidRPr="007F7AE6">
        <w:rPr>
          <w:sz w:val="20"/>
          <w:szCs w:val="20"/>
        </w:rPr>
        <w:t>ng</w:t>
      </w:r>
      <w:r w:rsidRPr="007F7AE6">
        <w:rPr>
          <w:sz w:val="20"/>
          <w:szCs w:val="20"/>
        </w:rPr>
        <w:t xml:space="preserve"> 2010.</w:t>
      </w:r>
    </w:p>
    <w:p w:rsidR="008D370A" w:rsidRPr="007F7AE6" w:rsidRDefault="008D370A" w:rsidP="001B4D6A">
      <w:pPr>
        <w:rPr>
          <w:rFonts w:ascii="Arial" w:hAnsi="Arial" w:cs="Arial"/>
          <w:b/>
          <w:sz w:val="20"/>
          <w:szCs w:val="20"/>
        </w:rPr>
      </w:pPr>
    </w:p>
    <w:p w:rsidR="008D370A" w:rsidRPr="007F7AE6" w:rsidRDefault="008D370A" w:rsidP="001B4D6A">
      <w:pPr>
        <w:jc w:val="center"/>
        <w:rPr>
          <w:rFonts w:ascii="Arial" w:hAnsi="Arial" w:cs="Arial"/>
          <w:b/>
          <w:sz w:val="20"/>
          <w:szCs w:val="20"/>
        </w:rPr>
      </w:pPr>
      <w:r w:rsidRPr="007F7AE6">
        <w:rPr>
          <w:rFonts w:ascii="Arial" w:hAnsi="Arial" w:cs="Arial"/>
          <w:b/>
          <w:sz w:val="20"/>
          <w:szCs w:val="20"/>
        </w:rPr>
        <w:t>Opportunities for Improvement</w:t>
      </w:r>
    </w:p>
    <w:p w:rsidR="008D370A" w:rsidRPr="007F7AE6" w:rsidRDefault="008D370A" w:rsidP="001B4D6A">
      <w:pPr>
        <w:rPr>
          <w:rFonts w:ascii="Arial" w:hAnsi="Arial" w:cs="Arial"/>
          <w:sz w:val="20"/>
          <w:szCs w:val="20"/>
        </w:rPr>
      </w:pPr>
    </w:p>
    <w:p w:rsidR="008D370A" w:rsidRPr="007F7AE6" w:rsidRDefault="008D370A" w:rsidP="001B4D6A">
      <w:pPr>
        <w:rPr>
          <w:rFonts w:ascii="Arial" w:hAnsi="Arial" w:cs="Arial"/>
          <w:sz w:val="20"/>
          <w:szCs w:val="20"/>
        </w:rPr>
      </w:pPr>
      <w:r w:rsidRPr="007F7AE6">
        <w:rPr>
          <w:rFonts w:ascii="Arial" w:hAnsi="Arial" w:cs="Arial"/>
          <w:sz w:val="20"/>
          <w:szCs w:val="20"/>
        </w:rPr>
        <w:t>Despite the many excellent initiatives currently underway, Montana Tech continues to see opportunities for the future:</w:t>
      </w:r>
    </w:p>
    <w:p w:rsidR="008D370A" w:rsidRPr="007F7AE6" w:rsidRDefault="008D370A" w:rsidP="001B4D6A">
      <w:pPr>
        <w:rPr>
          <w:rFonts w:ascii="Arial" w:hAnsi="Arial" w:cs="Arial"/>
          <w:sz w:val="20"/>
          <w:szCs w:val="20"/>
        </w:rPr>
      </w:pPr>
    </w:p>
    <w:p w:rsidR="008D370A" w:rsidRPr="007F7AE6" w:rsidRDefault="008D370A" w:rsidP="001B4D6A">
      <w:pPr>
        <w:pStyle w:val="ListParagraph"/>
        <w:numPr>
          <w:ilvl w:val="0"/>
          <w:numId w:val="34"/>
        </w:numPr>
        <w:ind w:left="360"/>
        <w:rPr>
          <w:sz w:val="20"/>
          <w:szCs w:val="20"/>
        </w:rPr>
      </w:pPr>
      <w:r w:rsidRPr="007F7AE6">
        <w:rPr>
          <w:sz w:val="20"/>
          <w:szCs w:val="20"/>
        </w:rPr>
        <w:t xml:space="preserve">The </w:t>
      </w:r>
      <w:r w:rsidR="005807F9" w:rsidRPr="007F7AE6">
        <w:rPr>
          <w:sz w:val="20"/>
          <w:szCs w:val="20"/>
        </w:rPr>
        <w:t>continued maturation of the One-Stop-</w:t>
      </w:r>
      <w:r w:rsidRPr="007F7AE6">
        <w:rPr>
          <w:sz w:val="20"/>
          <w:szCs w:val="20"/>
        </w:rPr>
        <w:t>Shop concept will cause refinement of processes and improvement of service to students and faculty.</w:t>
      </w:r>
    </w:p>
    <w:p w:rsidR="008D370A" w:rsidRPr="007F7AE6" w:rsidRDefault="008D370A" w:rsidP="001B4D6A">
      <w:pPr>
        <w:pStyle w:val="ListParagraph"/>
        <w:numPr>
          <w:ilvl w:val="0"/>
          <w:numId w:val="34"/>
        </w:numPr>
        <w:ind w:left="360"/>
        <w:rPr>
          <w:sz w:val="20"/>
          <w:szCs w:val="20"/>
        </w:rPr>
      </w:pPr>
      <w:r w:rsidRPr="007F7AE6">
        <w:rPr>
          <w:sz w:val="20"/>
          <w:szCs w:val="20"/>
        </w:rPr>
        <w:t>Our HPER complex will undergo a significant renovation aimed at allowing the general student more availability to campus recreation.  This student-funded initiative will bring more physical fitness options to more students.</w:t>
      </w:r>
    </w:p>
    <w:p w:rsidR="008D370A" w:rsidRPr="007F7AE6" w:rsidRDefault="008D370A" w:rsidP="001B4D6A">
      <w:pPr>
        <w:pStyle w:val="ListParagraph"/>
        <w:numPr>
          <w:ilvl w:val="0"/>
          <w:numId w:val="34"/>
        </w:numPr>
        <w:ind w:left="360"/>
        <w:rPr>
          <w:sz w:val="20"/>
          <w:szCs w:val="20"/>
        </w:rPr>
      </w:pPr>
      <w:r w:rsidRPr="007F7AE6">
        <w:rPr>
          <w:sz w:val="20"/>
          <w:szCs w:val="20"/>
        </w:rPr>
        <w:t>The implementation of a new One Card/Digger Card system will provide improved security, better implementation of current meal plan programs, and greater access to students and staff to vending and outside services.</w:t>
      </w:r>
    </w:p>
    <w:p w:rsidR="008D370A" w:rsidRPr="007F7AE6" w:rsidRDefault="008D370A" w:rsidP="001B4D6A">
      <w:pPr>
        <w:pStyle w:val="ListParagraph"/>
        <w:numPr>
          <w:ilvl w:val="0"/>
          <w:numId w:val="34"/>
        </w:numPr>
        <w:ind w:left="360"/>
        <w:rPr>
          <w:sz w:val="20"/>
          <w:szCs w:val="20"/>
        </w:rPr>
      </w:pPr>
      <w:r w:rsidRPr="007F7AE6">
        <w:rPr>
          <w:sz w:val="20"/>
          <w:szCs w:val="20"/>
        </w:rPr>
        <w:t>As enrollment continues to grow and demand on our campus infrastructure increase</w:t>
      </w:r>
      <w:r w:rsidR="005807F9" w:rsidRPr="007F7AE6">
        <w:rPr>
          <w:sz w:val="20"/>
          <w:szCs w:val="20"/>
        </w:rPr>
        <w:t>s</w:t>
      </w:r>
      <w:r w:rsidRPr="007F7AE6">
        <w:rPr>
          <w:sz w:val="20"/>
          <w:szCs w:val="20"/>
        </w:rPr>
        <w:t>, it is evident that we need to invest in critical student service elements, including but not limited to:</w:t>
      </w:r>
    </w:p>
    <w:p w:rsidR="008D370A" w:rsidRPr="007F7AE6" w:rsidRDefault="008D370A" w:rsidP="001B4D6A">
      <w:pPr>
        <w:pStyle w:val="ListParagraph"/>
        <w:numPr>
          <w:ilvl w:val="1"/>
          <w:numId w:val="34"/>
        </w:numPr>
        <w:ind w:left="1080"/>
        <w:rPr>
          <w:sz w:val="20"/>
          <w:szCs w:val="20"/>
        </w:rPr>
      </w:pPr>
      <w:r w:rsidRPr="007F7AE6">
        <w:rPr>
          <w:sz w:val="20"/>
          <w:szCs w:val="20"/>
        </w:rPr>
        <w:t>Additional on-campus housing</w:t>
      </w:r>
    </w:p>
    <w:p w:rsidR="008D370A" w:rsidRPr="007F7AE6" w:rsidRDefault="008D370A" w:rsidP="001B4D6A">
      <w:pPr>
        <w:pStyle w:val="ListParagraph"/>
        <w:numPr>
          <w:ilvl w:val="1"/>
          <w:numId w:val="34"/>
        </w:numPr>
        <w:ind w:left="1080"/>
        <w:rPr>
          <w:sz w:val="20"/>
          <w:szCs w:val="20"/>
        </w:rPr>
      </w:pPr>
      <w:r w:rsidRPr="007F7AE6">
        <w:rPr>
          <w:sz w:val="20"/>
          <w:szCs w:val="20"/>
        </w:rPr>
        <w:t>Housing aimed at specific international cultures and desires</w:t>
      </w:r>
    </w:p>
    <w:p w:rsidR="008D370A" w:rsidRPr="007F7AE6" w:rsidRDefault="008D370A" w:rsidP="001B4D6A">
      <w:pPr>
        <w:pStyle w:val="ListParagraph"/>
        <w:numPr>
          <w:ilvl w:val="1"/>
          <w:numId w:val="34"/>
        </w:numPr>
        <w:ind w:left="1080"/>
        <w:rPr>
          <w:sz w:val="20"/>
          <w:szCs w:val="20"/>
        </w:rPr>
      </w:pPr>
      <w:r w:rsidRPr="007F7AE6">
        <w:rPr>
          <w:sz w:val="20"/>
          <w:szCs w:val="20"/>
        </w:rPr>
        <w:t>More parking availability on the North Campus</w:t>
      </w:r>
    </w:p>
    <w:p w:rsidR="008D370A" w:rsidRPr="007F7AE6" w:rsidRDefault="008D370A" w:rsidP="001B4D6A">
      <w:pPr>
        <w:pStyle w:val="ListParagraph"/>
        <w:numPr>
          <w:ilvl w:val="1"/>
          <w:numId w:val="34"/>
        </w:numPr>
        <w:ind w:left="1080"/>
        <w:rPr>
          <w:sz w:val="20"/>
          <w:szCs w:val="20"/>
        </w:rPr>
      </w:pPr>
      <w:r w:rsidRPr="007F7AE6">
        <w:rPr>
          <w:sz w:val="20"/>
          <w:szCs w:val="20"/>
        </w:rPr>
        <w:t xml:space="preserve">Better utilization of the COT (South Campus) facilities </w:t>
      </w:r>
    </w:p>
    <w:p w:rsidR="008D370A" w:rsidRPr="007F7AE6" w:rsidRDefault="008D370A" w:rsidP="001B4D6A">
      <w:pPr>
        <w:pStyle w:val="ListParagraph"/>
        <w:numPr>
          <w:ilvl w:val="0"/>
          <w:numId w:val="34"/>
        </w:numPr>
        <w:ind w:left="360"/>
        <w:rPr>
          <w:sz w:val="20"/>
          <w:szCs w:val="20"/>
        </w:rPr>
      </w:pPr>
      <w:r w:rsidRPr="007F7AE6">
        <w:rPr>
          <w:sz w:val="20"/>
          <w:szCs w:val="20"/>
        </w:rPr>
        <w:t>The Enrollment Services team will continue to refine our recruitment strategies to maximize the return on investment.</w:t>
      </w:r>
    </w:p>
    <w:p w:rsidR="008D370A" w:rsidRPr="007F7AE6" w:rsidRDefault="008D370A" w:rsidP="001B4D6A">
      <w:pPr>
        <w:jc w:val="center"/>
        <w:rPr>
          <w:rFonts w:ascii="Arial" w:hAnsi="Arial" w:cs="Arial"/>
          <w:b/>
          <w:sz w:val="20"/>
          <w:szCs w:val="20"/>
        </w:rPr>
      </w:pPr>
      <w:r w:rsidRPr="007F7AE6">
        <w:rPr>
          <w:rFonts w:ascii="Arial" w:hAnsi="Arial" w:cs="Arial"/>
          <w:b/>
          <w:sz w:val="20"/>
          <w:szCs w:val="20"/>
        </w:rPr>
        <w:t>Moving Forward</w:t>
      </w:r>
    </w:p>
    <w:p w:rsidR="008D370A" w:rsidRPr="007F7AE6" w:rsidRDefault="008D370A" w:rsidP="001B4D6A">
      <w:pPr>
        <w:rPr>
          <w:rFonts w:ascii="Arial" w:hAnsi="Arial" w:cs="Arial"/>
          <w:sz w:val="20"/>
          <w:szCs w:val="20"/>
        </w:rPr>
      </w:pPr>
    </w:p>
    <w:p w:rsidR="008D370A" w:rsidRPr="007F7AE6" w:rsidRDefault="00417C95" w:rsidP="001B4D6A">
      <w:pPr>
        <w:rPr>
          <w:rFonts w:ascii="Arial" w:hAnsi="Arial" w:cs="Arial"/>
          <w:sz w:val="20"/>
          <w:szCs w:val="20"/>
        </w:rPr>
      </w:pPr>
      <w:r w:rsidRPr="007F7AE6">
        <w:rPr>
          <w:rFonts w:ascii="Arial" w:hAnsi="Arial" w:cs="Arial"/>
          <w:sz w:val="20"/>
          <w:szCs w:val="20"/>
        </w:rPr>
        <w:t>Using our</w:t>
      </w:r>
      <w:r w:rsidR="008D370A" w:rsidRPr="007F7AE6">
        <w:rPr>
          <w:rFonts w:ascii="Arial" w:hAnsi="Arial" w:cs="Arial"/>
          <w:sz w:val="20"/>
          <w:szCs w:val="20"/>
        </w:rPr>
        <w:t xml:space="preserve"> VISION 2025 as a roadmap for the outlook of our campus, Montana Tech has an aggressive and exciting future.  That future will be filled with many accomplishments and significant challenges.  The fo</w:t>
      </w:r>
      <w:r w:rsidRPr="007F7AE6">
        <w:rPr>
          <w:rFonts w:ascii="Arial" w:hAnsi="Arial" w:cs="Arial"/>
          <w:sz w:val="20"/>
          <w:szCs w:val="20"/>
        </w:rPr>
        <w:t>llowing brief list represents a</w:t>
      </w:r>
      <w:r w:rsidR="008D370A" w:rsidRPr="007F7AE6">
        <w:rPr>
          <w:rFonts w:ascii="Arial" w:hAnsi="Arial" w:cs="Arial"/>
          <w:sz w:val="20"/>
          <w:szCs w:val="20"/>
        </w:rPr>
        <w:t xml:space="preserve"> few of each: </w:t>
      </w:r>
    </w:p>
    <w:p w:rsidR="008D370A" w:rsidRPr="007F7AE6" w:rsidRDefault="008D370A" w:rsidP="001B4D6A">
      <w:pPr>
        <w:rPr>
          <w:rFonts w:ascii="Arial" w:hAnsi="Arial" w:cs="Arial"/>
          <w:sz w:val="20"/>
          <w:szCs w:val="20"/>
        </w:rPr>
      </w:pPr>
    </w:p>
    <w:p w:rsidR="008D370A" w:rsidRPr="007F7AE6" w:rsidRDefault="008D370A" w:rsidP="001B4D6A">
      <w:pPr>
        <w:pStyle w:val="ListParagraph"/>
        <w:numPr>
          <w:ilvl w:val="0"/>
          <w:numId w:val="35"/>
        </w:numPr>
        <w:ind w:left="360"/>
        <w:rPr>
          <w:sz w:val="20"/>
          <w:szCs w:val="20"/>
        </w:rPr>
      </w:pPr>
      <w:r w:rsidRPr="007F7AE6">
        <w:rPr>
          <w:sz w:val="20"/>
          <w:szCs w:val="20"/>
        </w:rPr>
        <w:t>Montana Tech will house the Pacific Northwest’s only Math &amp; Science Academy.  This Academy will allow Montana’s very best and brightest high school juniors and seniors to attend Montana Tech their last two years of high school, earning an Associate degree and a high school diploma simultaneously.  The plan for this academy includes a 40-bed residence hall tailored specifically to non-traditional (younger) students.</w:t>
      </w:r>
    </w:p>
    <w:p w:rsidR="008D370A" w:rsidRPr="007F7AE6" w:rsidRDefault="008D370A" w:rsidP="001B4D6A">
      <w:pPr>
        <w:pStyle w:val="ListParagraph"/>
        <w:numPr>
          <w:ilvl w:val="0"/>
          <w:numId w:val="35"/>
        </w:numPr>
        <w:ind w:left="360"/>
        <w:rPr>
          <w:sz w:val="20"/>
          <w:szCs w:val="20"/>
        </w:rPr>
      </w:pPr>
      <w:r w:rsidRPr="007F7AE6">
        <w:rPr>
          <w:sz w:val="20"/>
          <w:szCs w:val="20"/>
        </w:rPr>
        <w:t>The enhanced recruiting strategies (mentioned above) coupled with a marketing and advertising emphasis will provide Montana Tech with a larger and more diverse student population.  In the current MUS funding model, a non-resident student provides significant financial benefit to the campus when compared to a resident student.  Thus, Montana Tech will continue to grow our international and non-resident student body.</w:t>
      </w:r>
    </w:p>
    <w:p w:rsidR="008D370A" w:rsidRPr="007F7AE6" w:rsidRDefault="008D370A" w:rsidP="001B4D6A">
      <w:pPr>
        <w:pStyle w:val="ListParagraph"/>
        <w:numPr>
          <w:ilvl w:val="0"/>
          <w:numId w:val="35"/>
        </w:numPr>
        <w:ind w:left="360"/>
        <w:rPr>
          <w:sz w:val="20"/>
          <w:szCs w:val="20"/>
        </w:rPr>
      </w:pPr>
      <w:r w:rsidRPr="007F7AE6">
        <w:rPr>
          <w:sz w:val="20"/>
          <w:szCs w:val="20"/>
        </w:rPr>
        <w:t>As a unit of the Montana University System, Montana Tech is very dependent on the health of the state’s economy.  Based on the forecasts for the coming biennium, the challenges for Montana’s legislature are significant.  If the forecasted budget projections prove to be real, Montana Tech will be forced to reduce our expenditures while serving more students.</w:t>
      </w:r>
    </w:p>
    <w:p w:rsidR="008D370A" w:rsidRDefault="008D370A" w:rsidP="001B4D6A">
      <w:pPr>
        <w:pStyle w:val="ListParagraph"/>
        <w:ind w:left="0"/>
        <w:rPr>
          <w:sz w:val="22"/>
          <w:szCs w:val="22"/>
        </w:rPr>
      </w:pPr>
    </w:p>
    <w:p w:rsidR="008D370A" w:rsidRPr="00211FAD" w:rsidRDefault="008D370A" w:rsidP="001B4D6A">
      <w:pPr>
        <w:rPr>
          <w:rFonts w:ascii="Arial" w:hAnsi="Arial" w:cs="Arial"/>
          <w:sz w:val="22"/>
        </w:rPr>
      </w:pPr>
    </w:p>
    <w:p w:rsidR="00E8424F" w:rsidRDefault="00E8424F" w:rsidP="001B4D6A">
      <w:pPr>
        <w:rPr>
          <w:rFonts w:ascii="Arial" w:hAnsi="Arial" w:cs="Arial"/>
          <w:b/>
          <w:sz w:val="20"/>
          <w:szCs w:val="20"/>
        </w:rPr>
      </w:pPr>
    </w:p>
    <w:p w:rsidR="00E8424F" w:rsidRDefault="00E8424F" w:rsidP="001B4D6A">
      <w:pPr>
        <w:rPr>
          <w:rFonts w:ascii="Arial" w:hAnsi="Arial" w:cs="Arial"/>
          <w:b/>
          <w:sz w:val="20"/>
          <w:szCs w:val="20"/>
        </w:rPr>
      </w:pPr>
    </w:p>
    <w:p w:rsidR="00E8424F" w:rsidRDefault="00E8424F" w:rsidP="001B4D6A">
      <w:pPr>
        <w:rPr>
          <w:rFonts w:ascii="Arial" w:hAnsi="Arial" w:cs="Arial"/>
          <w:b/>
          <w:sz w:val="20"/>
          <w:szCs w:val="20"/>
        </w:rPr>
      </w:pPr>
    </w:p>
    <w:p w:rsidR="007F7AE6" w:rsidRDefault="007F7AE6" w:rsidP="001B4D6A">
      <w:pPr>
        <w:rPr>
          <w:rFonts w:ascii="Arial" w:hAnsi="Arial" w:cs="Arial"/>
          <w:b/>
          <w:sz w:val="20"/>
          <w:szCs w:val="20"/>
        </w:rPr>
      </w:pPr>
    </w:p>
    <w:p w:rsidR="007F7AE6" w:rsidRDefault="007F7AE6" w:rsidP="001B4D6A">
      <w:pPr>
        <w:rPr>
          <w:rFonts w:ascii="Arial" w:hAnsi="Arial" w:cs="Arial"/>
          <w:b/>
          <w:sz w:val="20"/>
          <w:szCs w:val="20"/>
        </w:rPr>
      </w:pPr>
    </w:p>
    <w:p w:rsidR="00875886" w:rsidRPr="009C2501" w:rsidRDefault="00875886" w:rsidP="001B4D6A">
      <w:pPr>
        <w:rPr>
          <w:rFonts w:ascii="Arial" w:hAnsi="Arial" w:cs="Arial"/>
          <w:b/>
          <w:sz w:val="20"/>
          <w:szCs w:val="20"/>
        </w:rPr>
      </w:pPr>
      <w:r w:rsidRPr="009C2501">
        <w:rPr>
          <w:rFonts w:ascii="Arial" w:hAnsi="Arial" w:cs="Arial"/>
          <w:b/>
          <w:sz w:val="20"/>
          <w:szCs w:val="20"/>
        </w:rPr>
        <w:lastRenderedPageBreak/>
        <w:t>EXHIBITS</w:t>
      </w:r>
    </w:p>
    <w:p w:rsidR="00875886" w:rsidRPr="009C2501" w:rsidRDefault="00875886" w:rsidP="001B4D6A">
      <w:pPr>
        <w:rPr>
          <w:rFonts w:ascii="Arial" w:hAnsi="Arial" w:cs="Arial"/>
          <w:b/>
          <w:sz w:val="20"/>
          <w:szCs w:val="20"/>
        </w:rPr>
      </w:pPr>
    </w:p>
    <w:p w:rsidR="000F73D1" w:rsidRPr="009C2501" w:rsidRDefault="000F73D1" w:rsidP="001B4D6A">
      <w:pPr>
        <w:rPr>
          <w:rFonts w:ascii="Arial" w:hAnsi="Arial" w:cs="Arial"/>
          <w:sz w:val="20"/>
          <w:szCs w:val="20"/>
        </w:rPr>
      </w:pPr>
      <w:r>
        <w:rPr>
          <w:rFonts w:ascii="Arial" w:hAnsi="Arial" w:cs="Arial"/>
          <w:sz w:val="20"/>
          <w:szCs w:val="20"/>
        </w:rPr>
        <w:t>3. A.I</w:t>
      </w:r>
      <w:r w:rsidRPr="009C2501">
        <w:rPr>
          <w:rFonts w:ascii="Arial" w:hAnsi="Arial" w:cs="Arial"/>
          <w:sz w:val="20"/>
          <w:szCs w:val="20"/>
        </w:rPr>
        <w:tab/>
      </w:r>
      <w:r w:rsidRPr="009C2501">
        <w:rPr>
          <w:rFonts w:ascii="Arial" w:hAnsi="Arial" w:cs="Arial"/>
          <w:sz w:val="20"/>
          <w:szCs w:val="20"/>
        </w:rPr>
        <w:tab/>
      </w:r>
      <w:hyperlink r:id="rId81" w:history="1">
        <w:r w:rsidRPr="002A5B07">
          <w:rPr>
            <w:rStyle w:val="Hyperlink"/>
            <w:rFonts w:ascii="Arial" w:hAnsi="Arial" w:cs="Arial"/>
            <w:i/>
            <w:sz w:val="20"/>
            <w:szCs w:val="20"/>
          </w:rPr>
          <w:t>Enrollment Services/Processing Organizational Chart</w:t>
        </w:r>
      </w:hyperlink>
    </w:p>
    <w:p w:rsidR="00875886" w:rsidRPr="00575E50" w:rsidRDefault="009771F2" w:rsidP="001B4D6A">
      <w:pPr>
        <w:ind w:left="1440" w:hanging="1440"/>
        <w:rPr>
          <w:rFonts w:ascii="Arial" w:hAnsi="Arial" w:cs="Arial"/>
          <w:sz w:val="20"/>
          <w:szCs w:val="20"/>
        </w:rPr>
      </w:pPr>
      <w:r w:rsidRPr="009C2501">
        <w:rPr>
          <w:rFonts w:ascii="Arial" w:hAnsi="Arial" w:cs="Arial"/>
          <w:sz w:val="20"/>
          <w:szCs w:val="20"/>
        </w:rPr>
        <w:t>3. A.I</w:t>
      </w:r>
      <w:r w:rsidR="000F73D1">
        <w:rPr>
          <w:rFonts w:ascii="Arial" w:hAnsi="Arial" w:cs="Arial"/>
          <w:sz w:val="20"/>
          <w:szCs w:val="20"/>
        </w:rPr>
        <w:t>I</w:t>
      </w:r>
      <w:r w:rsidR="006D7DD8" w:rsidRPr="009C2501">
        <w:rPr>
          <w:rFonts w:ascii="Arial" w:hAnsi="Arial" w:cs="Arial"/>
          <w:sz w:val="20"/>
          <w:szCs w:val="20"/>
        </w:rPr>
        <w:tab/>
      </w:r>
      <w:r w:rsidR="00875886" w:rsidRPr="004B6E7E">
        <w:rPr>
          <w:rFonts w:ascii="Arial" w:hAnsi="Arial" w:cs="Arial"/>
          <w:i/>
          <w:sz w:val="20"/>
          <w:szCs w:val="20"/>
          <w:u w:val="single"/>
        </w:rPr>
        <w:t xml:space="preserve">Student Affairs </w:t>
      </w:r>
      <w:r w:rsidR="00A56404" w:rsidRPr="004B6E7E">
        <w:rPr>
          <w:rFonts w:ascii="Arial" w:hAnsi="Arial" w:cs="Arial"/>
          <w:i/>
          <w:sz w:val="20"/>
          <w:szCs w:val="20"/>
          <w:u w:val="single"/>
        </w:rPr>
        <w:t>Resumes</w:t>
      </w:r>
      <w:r w:rsidR="00575E50" w:rsidRPr="004B6E7E">
        <w:rPr>
          <w:rFonts w:ascii="Arial" w:hAnsi="Arial" w:cs="Arial"/>
          <w:i/>
          <w:sz w:val="20"/>
          <w:szCs w:val="20"/>
          <w:u w:val="single"/>
        </w:rPr>
        <w:t>**</w:t>
      </w:r>
      <w:r w:rsidR="0035034D" w:rsidRPr="0035034D">
        <w:rPr>
          <w:rFonts w:ascii="Arial" w:hAnsi="Arial" w:cs="Arial"/>
          <w:sz w:val="20"/>
          <w:szCs w:val="20"/>
        </w:rPr>
        <w:t>,</w:t>
      </w:r>
      <w:r w:rsidR="00B122A7" w:rsidRPr="0035034D">
        <w:rPr>
          <w:rFonts w:ascii="Arial" w:hAnsi="Arial" w:cs="Arial"/>
          <w:sz w:val="20"/>
          <w:szCs w:val="20"/>
        </w:rPr>
        <w:t xml:space="preserve"> </w:t>
      </w:r>
    </w:p>
    <w:p w:rsidR="00183343" w:rsidRPr="009C2501" w:rsidRDefault="009771F2" w:rsidP="001B4D6A">
      <w:pPr>
        <w:rPr>
          <w:rFonts w:ascii="Arial" w:hAnsi="Arial" w:cs="Arial"/>
          <w:sz w:val="20"/>
          <w:szCs w:val="20"/>
        </w:rPr>
      </w:pPr>
      <w:r w:rsidRPr="009C2501">
        <w:rPr>
          <w:rFonts w:ascii="Arial" w:hAnsi="Arial" w:cs="Arial"/>
          <w:sz w:val="20"/>
          <w:szCs w:val="20"/>
        </w:rPr>
        <w:t>3. A.II</w:t>
      </w:r>
      <w:r w:rsidR="000F73D1">
        <w:rPr>
          <w:rFonts w:ascii="Arial" w:hAnsi="Arial" w:cs="Arial"/>
          <w:sz w:val="20"/>
          <w:szCs w:val="20"/>
        </w:rPr>
        <w:t>I</w:t>
      </w:r>
      <w:r w:rsidR="006D7DD8" w:rsidRPr="009C2501">
        <w:rPr>
          <w:rFonts w:ascii="Arial" w:hAnsi="Arial" w:cs="Arial"/>
          <w:sz w:val="20"/>
          <w:szCs w:val="20"/>
        </w:rPr>
        <w:tab/>
      </w:r>
      <w:r w:rsidR="0082111B" w:rsidRPr="009C2501">
        <w:rPr>
          <w:rFonts w:ascii="Arial" w:hAnsi="Arial" w:cs="Arial"/>
          <w:sz w:val="20"/>
          <w:szCs w:val="20"/>
        </w:rPr>
        <w:tab/>
      </w:r>
      <w:hyperlink r:id="rId82" w:history="1">
        <w:r w:rsidR="005778C8" w:rsidRPr="002276A4">
          <w:rPr>
            <w:rStyle w:val="Hyperlink"/>
            <w:rFonts w:ascii="Arial" w:hAnsi="Arial" w:cs="Arial"/>
            <w:i/>
            <w:sz w:val="20"/>
            <w:szCs w:val="20"/>
          </w:rPr>
          <w:t xml:space="preserve">2009/2010 Montana Tech </w:t>
        </w:r>
        <w:r w:rsidR="00183343" w:rsidRPr="002276A4">
          <w:rPr>
            <w:rStyle w:val="Hyperlink"/>
            <w:rFonts w:ascii="Arial" w:hAnsi="Arial" w:cs="Arial"/>
            <w:i/>
            <w:sz w:val="20"/>
            <w:szCs w:val="20"/>
          </w:rPr>
          <w:t>Catalog</w:t>
        </w:r>
      </w:hyperlink>
      <w:r w:rsidR="009C2501" w:rsidRPr="002A5B07">
        <w:rPr>
          <w:rFonts w:ascii="Arial" w:hAnsi="Arial" w:cs="Arial"/>
          <w:sz w:val="20"/>
          <w:szCs w:val="20"/>
        </w:rPr>
        <w:t>*</w:t>
      </w:r>
    </w:p>
    <w:p w:rsidR="00D56B1A" w:rsidRPr="00D56B1A" w:rsidRDefault="000F73D1" w:rsidP="00D56B1A">
      <w:pPr>
        <w:ind w:left="1440" w:hanging="1440"/>
        <w:rPr>
          <w:i/>
        </w:rPr>
      </w:pPr>
      <w:r>
        <w:rPr>
          <w:rFonts w:ascii="Arial" w:hAnsi="Arial" w:cs="Arial"/>
          <w:sz w:val="20"/>
          <w:szCs w:val="20"/>
        </w:rPr>
        <w:t>3. A.IV</w:t>
      </w:r>
      <w:r w:rsidR="0035034D">
        <w:rPr>
          <w:rFonts w:ascii="Arial" w:hAnsi="Arial" w:cs="Arial"/>
          <w:sz w:val="20"/>
          <w:szCs w:val="20"/>
        </w:rPr>
        <w:tab/>
      </w:r>
      <w:r w:rsidR="00875886" w:rsidRPr="00C72244">
        <w:rPr>
          <w:rFonts w:ascii="Arial" w:hAnsi="Arial" w:cs="Arial"/>
          <w:i/>
          <w:sz w:val="20"/>
          <w:szCs w:val="20"/>
          <w:u w:val="single"/>
        </w:rPr>
        <w:t>2009/2010 Balanced Scorecards</w:t>
      </w:r>
      <w:r w:rsidR="0035034D" w:rsidRPr="00C72244">
        <w:rPr>
          <w:rFonts w:ascii="Arial" w:hAnsi="Arial" w:cs="Arial"/>
          <w:i/>
          <w:sz w:val="20"/>
          <w:szCs w:val="20"/>
          <w:u w:val="single"/>
        </w:rPr>
        <w:t>*</w:t>
      </w:r>
      <w:r w:rsidR="002F7961">
        <w:rPr>
          <w:rFonts w:ascii="Arial" w:hAnsi="Arial" w:cs="Arial"/>
          <w:i/>
          <w:sz w:val="20"/>
          <w:szCs w:val="20"/>
          <w:u w:val="single"/>
        </w:rPr>
        <w:t>,</w:t>
      </w:r>
      <w:r w:rsidR="002F7961" w:rsidRPr="00C72244">
        <w:rPr>
          <w:rFonts w:ascii="Arial" w:hAnsi="Arial" w:cs="Arial"/>
          <w:i/>
          <w:sz w:val="20"/>
          <w:szCs w:val="20"/>
          <w:u w:val="single"/>
        </w:rPr>
        <w:t xml:space="preserve"> Sample</w:t>
      </w:r>
      <w:r w:rsidR="006D7DD8" w:rsidRPr="00C72244">
        <w:rPr>
          <w:rFonts w:ascii="Arial" w:hAnsi="Arial" w:cs="Arial"/>
          <w:i/>
          <w:sz w:val="20"/>
          <w:szCs w:val="20"/>
          <w:u w:val="single"/>
        </w:rPr>
        <w:t xml:space="preserve"> </w:t>
      </w:r>
      <w:r w:rsidR="00212A0E" w:rsidRPr="00C72244">
        <w:rPr>
          <w:rFonts w:ascii="Arial" w:hAnsi="Arial" w:cs="Arial"/>
          <w:i/>
          <w:sz w:val="20"/>
          <w:szCs w:val="20"/>
          <w:u w:val="single"/>
        </w:rPr>
        <w:t>Evaluation</w:t>
      </w:r>
      <w:r w:rsidR="006D7DD8" w:rsidRPr="00C72244">
        <w:rPr>
          <w:rFonts w:ascii="Arial" w:hAnsi="Arial" w:cs="Arial"/>
          <w:i/>
          <w:sz w:val="20"/>
          <w:szCs w:val="20"/>
          <w:u w:val="single"/>
        </w:rPr>
        <w:t>s</w:t>
      </w:r>
      <w:r w:rsidR="00A268B2">
        <w:rPr>
          <w:rFonts w:ascii="Arial" w:hAnsi="Arial" w:cs="Arial"/>
          <w:i/>
          <w:sz w:val="20"/>
          <w:szCs w:val="20"/>
          <w:u w:val="single"/>
        </w:rPr>
        <w:t xml:space="preserve">, </w:t>
      </w:r>
      <w:hyperlink r:id="rId83" w:history="1">
        <w:r w:rsidR="000F5D86" w:rsidRPr="009540C5">
          <w:rPr>
            <w:rStyle w:val="Hyperlink"/>
            <w:rFonts w:ascii="Arial" w:hAnsi="Arial" w:cs="Arial"/>
            <w:i/>
            <w:sz w:val="20"/>
            <w:szCs w:val="20"/>
          </w:rPr>
          <w:t>Performance Review Evaluation</w:t>
        </w:r>
      </w:hyperlink>
      <w:r w:rsidR="00A268B2">
        <w:rPr>
          <w:rFonts w:ascii="Arial" w:hAnsi="Arial" w:cs="Arial"/>
          <w:sz w:val="20"/>
          <w:szCs w:val="20"/>
        </w:rPr>
        <w:t xml:space="preserve">, </w:t>
      </w:r>
      <w:r w:rsidR="00BE6611" w:rsidRPr="00BE6611">
        <w:rPr>
          <w:rFonts w:ascii="Arial" w:hAnsi="Arial" w:cs="Arial"/>
          <w:i/>
          <w:sz w:val="20"/>
          <w:szCs w:val="20"/>
          <w:u w:val="single"/>
        </w:rPr>
        <w:t>Montana Tech</w:t>
      </w:r>
      <w:r w:rsidR="00BE6611">
        <w:rPr>
          <w:rFonts w:ascii="Arial" w:hAnsi="Arial" w:cs="Arial"/>
          <w:i/>
          <w:sz w:val="20"/>
          <w:szCs w:val="20"/>
          <w:u w:val="single"/>
        </w:rPr>
        <w:t>’s</w:t>
      </w:r>
      <w:r w:rsidR="00BE6611" w:rsidRPr="00BE6611">
        <w:rPr>
          <w:rFonts w:ascii="Arial" w:hAnsi="Arial" w:cs="Arial"/>
          <w:i/>
          <w:sz w:val="20"/>
          <w:szCs w:val="20"/>
          <w:u w:val="single"/>
        </w:rPr>
        <w:t xml:space="preserve"> Strategic </w:t>
      </w:r>
      <w:r w:rsidR="00BE6611" w:rsidRPr="00D56B1A">
        <w:rPr>
          <w:rFonts w:ascii="Arial" w:hAnsi="Arial" w:cs="Arial"/>
          <w:i/>
          <w:sz w:val="20"/>
          <w:szCs w:val="20"/>
          <w:u w:val="single"/>
        </w:rPr>
        <w:t>Plan</w:t>
      </w:r>
      <w:r w:rsidR="00D56B1A" w:rsidRPr="00D56B1A">
        <w:rPr>
          <w:rFonts w:ascii="Arial" w:hAnsi="Arial" w:cs="Arial"/>
          <w:i/>
          <w:sz w:val="20"/>
          <w:szCs w:val="20"/>
          <w:u w:val="single"/>
        </w:rPr>
        <w:t xml:space="preserve"> (</w:t>
      </w:r>
      <w:hyperlink r:id="rId84" w:history="1">
        <w:r w:rsidR="00D56B1A" w:rsidRPr="008E2295">
          <w:rPr>
            <w:rStyle w:val="Hyperlink"/>
            <w:rFonts w:ascii="Arial" w:hAnsi="Arial" w:cs="Arial"/>
            <w:i/>
            <w:sz w:val="20"/>
            <w:szCs w:val="20"/>
          </w:rPr>
          <w:t>http://www.mtech.edu/about/strives.html</w:t>
        </w:r>
      </w:hyperlink>
      <w:r w:rsidR="00D56B1A" w:rsidRPr="00D56B1A">
        <w:rPr>
          <w:i/>
        </w:rPr>
        <w:t>)</w:t>
      </w:r>
    </w:p>
    <w:p w:rsidR="008D370A" w:rsidRDefault="00BE6611" w:rsidP="001B4D6A">
      <w:pPr>
        <w:ind w:left="1440" w:hanging="1440"/>
        <w:rPr>
          <w:rFonts w:ascii="Arial" w:hAnsi="Arial" w:cs="Arial"/>
          <w:sz w:val="20"/>
          <w:szCs w:val="20"/>
        </w:rPr>
      </w:pPr>
      <w:r>
        <w:rPr>
          <w:rFonts w:ascii="Arial" w:hAnsi="Arial" w:cs="Arial"/>
          <w:sz w:val="20"/>
          <w:szCs w:val="20"/>
        </w:rPr>
        <w:t xml:space="preserve"> </w:t>
      </w:r>
      <w:r w:rsidR="00D56B1A">
        <w:rPr>
          <w:rFonts w:ascii="Arial" w:hAnsi="Arial" w:cs="Arial"/>
          <w:sz w:val="20"/>
          <w:szCs w:val="20"/>
        </w:rPr>
        <w:tab/>
      </w:r>
      <w:r>
        <w:rPr>
          <w:rFonts w:ascii="Arial" w:hAnsi="Arial" w:cs="Arial"/>
          <w:i/>
          <w:sz w:val="20"/>
          <w:szCs w:val="20"/>
          <w:u w:val="single"/>
        </w:rPr>
        <w:t>&amp; Student Services</w:t>
      </w:r>
      <w:r w:rsidR="00A268B2" w:rsidRPr="00A268B2">
        <w:rPr>
          <w:rFonts w:ascii="Arial" w:hAnsi="Arial" w:cs="Arial"/>
          <w:i/>
          <w:sz w:val="20"/>
          <w:szCs w:val="20"/>
          <w:u w:val="single"/>
        </w:rPr>
        <w:t xml:space="preserve"> Mission and Goals</w:t>
      </w:r>
      <w:r w:rsidR="00A268B2">
        <w:rPr>
          <w:rFonts w:ascii="Arial" w:hAnsi="Arial" w:cs="Arial"/>
          <w:i/>
          <w:sz w:val="20"/>
          <w:szCs w:val="20"/>
          <w:u w:val="single"/>
        </w:rPr>
        <w:t>*</w:t>
      </w:r>
    </w:p>
    <w:p w:rsidR="00394820" w:rsidRPr="00C72244" w:rsidRDefault="000F73D1" w:rsidP="001B4D6A">
      <w:pPr>
        <w:ind w:left="1440" w:hanging="1440"/>
        <w:rPr>
          <w:rFonts w:ascii="Arial" w:hAnsi="Arial" w:cs="Arial"/>
          <w:i/>
          <w:sz w:val="20"/>
          <w:szCs w:val="20"/>
        </w:rPr>
      </w:pPr>
      <w:r>
        <w:rPr>
          <w:rFonts w:ascii="Arial" w:hAnsi="Arial" w:cs="Arial"/>
          <w:sz w:val="20"/>
          <w:szCs w:val="20"/>
        </w:rPr>
        <w:t>3. A.</w:t>
      </w:r>
      <w:r w:rsidR="00394820" w:rsidRPr="00394820">
        <w:rPr>
          <w:rFonts w:ascii="Arial" w:hAnsi="Arial" w:cs="Arial"/>
          <w:sz w:val="20"/>
          <w:szCs w:val="20"/>
        </w:rPr>
        <w:t>V</w:t>
      </w:r>
      <w:r w:rsidR="00394820" w:rsidRPr="00394820">
        <w:rPr>
          <w:rFonts w:ascii="Arial" w:hAnsi="Arial" w:cs="Arial"/>
          <w:sz w:val="20"/>
          <w:szCs w:val="20"/>
        </w:rPr>
        <w:tab/>
      </w:r>
      <w:hyperlink r:id="rId85" w:history="1">
        <w:r w:rsidR="00394820" w:rsidRPr="009540C5">
          <w:rPr>
            <w:rStyle w:val="Hyperlink"/>
            <w:rFonts w:ascii="Arial" w:hAnsi="Arial" w:cs="Arial"/>
            <w:i/>
            <w:sz w:val="20"/>
            <w:szCs w:val="20"/>
          </w:rPr>
          <w:t>Auxiliary</w:t>
        </w:r>
        <w:r w:rsidR="008C2B80" w:rsidRPr="009540C5">
          <w:rPr>
            <w:rStyle w:val="Hyperlink"/>
            <w:rFonts w:ascii="Arial" w:hAnsi="Arial" w:cs="Arial"/>
            <w:i/>
            <w:sz w:val="20"/>
            <w:szCs w:val="20"/>
          </w:rPr>
          <w:t xml:space="preserve"> Projects &amp; Planning</w:t>
        </w:r>
      </w:hyperlink>
    </w:p>
    <w:p w:rsidR="007E1E49" w:rsidRDefault="007E1E49" w:rsidP="001B4D6A">
      <w:pPr>
        <w:rPr>
          <w:rFonts w:ascii="Arial" w:hAnsi="Arial" w:cs="Arial"/>
          <w:sz w:val="20"/>
          <w:szCs w:val="20"/>
        </w:rPr>
      </w:pPr>
    </w:p>
    <w:p w:rsidR="00AC1D50" w:rsidRPr="00AC1D50" w:rsidRDefault="000458CB" w:rsidP="001B4D6A">
      <w:pPr>
        <w:rPr>
          <w:rFonts w:ascii="Arial" w:hAnsi="Arial" w:cs="Arial"/>
          <w:color w:val="002060"/>
          <w:sz w:val="20"/>
          <w:szCs w:val="20"/>
        </w:rPr>
      </w:pPr>
      <w:r w:rsidRPr="009C2501">
        <w:rPr>
          <w:rFonts w:ascii="Arial" w:hAnsi="Arial" w:cs="Arial"/>
          <w:sz w:val="20"/>
          <w:szCs w:val="20"/>
        </w:rPr>
        <w:t>3. B.</w:t>
      </w:r>
      <w:r>
        <w:rPr>
          <w:rFonts w:ascii="Arial" w:hAnsi="Arial" w:cs="Arial"/>
          <w:sz w:val="20"/>
          <w:szCs w:val="20"/>
        </w:rPr>
        <w:t>I</w:t>
      </w:r>
      <w:r w:rsidRPr="009C2501">
        <w:rPr>
          <w:rFonts w:ascii="Arial" w:hAnsi="Arial" w:cs="Arial"/>
          <w:sz w:val="20"/>
          <w:szCs w:val="20"/>
        </w:rPr>
        <w:tab/>
      </w:r>
      <w:r w:rsidRPr="009C2501">
        <w:rPr>
          <w:rFonts w:ascii="Arial" w:hAnsi="Arial" w:cs="Arial"/>
          <w:sz w:val="20"/>
          <w:szCs w:val="20"/>
        </w:rPr>
        <w:tab/>
      </w:r>
      <w:hyperlink r:id="rId86" w:history="1">
        <w:r w:rsidRPr="00074FD9">
          <w:rPr>
            <w:rStyle w:val="Hyperlink"/>
            <w:rFonts w:ascii="Arial" w:hAnsi="Arial" w:cs="Arial"/>
            <w:i/>
            <w:sz w:val="20"/>
            <w:szCs w:val="20"/>
          </w:rPr>
          <w:t>Student Handbook</w:t>
        </w:r>
      </w:hyperlink>
    </w:p>
    <w:p w:rsidR="00875886" w:rsidRPr="009C2501" w:rsidRDefault="00C72244" w:rsidP="001B4D6A">
      <w:pPr>
        <w:rPr>
          <w:rFonts w:ascii="Arial" w:hAnsi="Arial" w:cs="Arial"/>
          <w:sz w:val="20"/>
          <w:szCs w:val="20"/>
        </w:rPr>
      </w:pPr>
      <w:r>
        <w:rPr>
          <w:rFonts w:ascii="Arial" w:hAnsi="Arial" w:cs="Arial"/>
          <w:sz w:val="20"/>
          <w:szCs w:val="20"/>
        </w:rPr>
        <w:t>3. B.I</w:t>
      </w:r>
      <w:r w:rsidR="000458CB">
        <w:rPr>
          <w:rFonts w:ascii="Arial" w:hAnsi="Arial" w:cs="Arial"/>
          <w:sz w:val="20"/>
          <w:szCs w:val="20"/>
        </w:rPr>
        <w:t>I</w:t>
      </w:r>
      <w:r w:rsidR="00875886" w:rsidRPr="009C2501">
        <w:rPr>
          <w:rFonts w:ascii="Arial" w:hAnsi="Arial" w:cs="Arial"/>
          <w:sz w:val="20"/>
          <w:szCs w:val="20"/>
        </w:rPr>
        <w:tab/>
      </w:r>
      <w:r w:rsidR="00B44BB7" w:rsidRPr="009C2501">
        <w:rPr>
          <w:rFonts w:ascii="Arial" w:hAnsi="Arial" w:cs="Arial"/>
          <w:sz w:val="20"/>
          <w:szCs w:val="20"/>
        </w:rPr>
        <w:tab/>
      </w:r>
      <w:hyperlink r:id="rId87" w:history="1">
        <w:r w:rsidR="00875886" w:rsidRPr="005C5DBD">
          <w:rPr>
            <w:rStyle w:val="Hyperlink"/>
            <w:rFonts w:ascii="Arial" w:hAnsi="Arial" w:cs="Arial"/>
            <w:i/>
            <w:sz w:val="20"/>
            <w:szCs w:val="20"/>
          </w:rPr>
          <w:t>Associated Students of Montana Tech (ASMT) Constitution</w:t>
        </w:r>
        <w:r w:rsidR="00575E50" w:rsidRPr="005C5DBD">
          <w:rPr>
            <w:rStyle w:val="Hyperlink"/>
            <w:rFonts w:ascii="Arial" w:hAnsi="Arial" w:cs="Arial"/>
            <w:sz w:val="20"/>
            <w:szCs w:val="20"/>
          </w:rPr>
          <w:t>*</w:t>
        </w:r>
      </w:hyperlink>
    </w:p>
    <w:p w:rsidR="00875886" w:rsidRPr="009C2501" w:rsidRDefault="00C72244" w:rsidP="001B4D6A">
      <w:pPr>
        <w:rPr>
          <w:rFonts w:ascii="Arial" w:hAnsi="Arial" w:cs="Arial"/>
          <w:sz w:val="20"/>
          <w:szCs w:val="20"/>
        </w:rPr>
      </w:pPr>
      <w:r>
        <w:rPr>
          <w:rFonts w:ascii="Arial" w:hAnsi="Arial" w:cs="Arial"/>
          <w:sz w:val="20"/>
          <w:szCs w:val="20"/>
        </w:rPr>
        <w:t>3. B.III</w:t>
      </w:r>
      <w:r w:rsidR="00B44BB7" w:rsidRPr="009C2501">
        <w:rPr>
          <w:rFonts w:ascii="Arial" w:hAnsi="Arial" w:cs="Arial"/>
          <w:sz w:val="20"/>
          <w:szCs w:val="20"/>
        </w:rPr>
        <w:tab/>
      </w:r>
      <w:r w:rsidR="00B44BB7" w:rsidRPr="009C2501">
        <w:rPr>
          <w:rFonts w:ascii="Arial" w:hAnsi="Arial" w:cs="Arial"/>
          <w:sz w:val="20"/>
          <w:szCs w:val="20"/>
        </w:rPr>
        <w:tab/>
      </w:r>
      <w:hyperlink r:id="rId88" w:history="1">
        <w:r w:rsidR="00875886" w:rsidRPr="005C5DBD">
          <w:rPr>
            <w:rStyle w:val="Hyperlink"/>
            <w:rFonts w:ascii="Arial" w:hAnsi="Arial" w:cs="Arial"/>
            <w:i/>
            <w:sz w:val="20"/>
            <w:szCs w:val="20"/>
          </w:rPr>
          <w:t>College Community Expectations Program</w:t>
        </w:r>
        <w:r w:rsidR="00575E50" w:rsidRPr="005C5DBD">
          <w:rPr>
            <w:rStyle w:val="Hyperlink"/>
            <w:rFonts w:ascii="Arial" w:hAnsi="Arial" w:cs="Arial"/>
            <w:sz w:val="20"/>
            <w:szCs w:val="20"/>
          </w:rPr>
          <w:t>*</w:t>
        </w:r>
      </w:hyperlink>
    </w:p>
    <w:p w:rsidR="00D30D61" w:rsidRPr="009C2501" w:rsidRDefault="009043AF" w:rsidP="001B4D6A">
      <w:pPr>
        <w:rPr>
          <w:rFonts w:ascii="Arial" w:hAnsi="Arial" w:cs="Arial"/>
          <w:sz w:val="20"/>
          <w:szCs w:val="20"/>
        </w:rPr>
      </w:pPr>
      <w:r w:rsidRPr="009C2501">
        <w:rPr>
          <w:rFonts w:ascii="Arial" w:hAnsi="Arial" w:cs="Arial"/>
          <w:sz w:val="20"/>
          <w:szCs w:val="20"/>
          <w:lang w:eastAsia="en-US"/>
        </w:rPr>
        <w:t>3. B.</w:t>
      </w:r>
      <w:r w:rsidR="00C72244">
        <w:rPr>
          <w:rFonts w:ascii="Arial" w:hAnsi="Arial" w:cs="Arial"/>
          <w:sz w:val="20"/>
          <w:szCs w:val="20"/>
          <w:lang w:eastAsia="en-US"/>
        </w:rPr>
        <w:t>I</w:t>
      </w:r>
      <w:r w:rsidRPr="009C2501">
        <w:rPr>
          <w:rFonts w:ascii="Arial" w:hAnsi="Arial" w:cs="Arial"/>
          <w:sz w:val="20"/>
          <w:szCs w:val="20"/>
          <w:lang w:eastAsia="en-US"/>
        </w:rPr>
        <w:t>V</w:t>
      </w:r>
      <w:r w:rsidR="00D30D61" w:rsidRPr="009C2501">
        <w:rPr>
          <w:rFonts w:ascii="Arial" w:hAnsi="Arial" w:cs="Arial"/>
          <w:sz w:val="20"/>
          <w:szCs w:val="20"/>
          <w:lang w:eastAsia="en-US"/>
        </w:rPr>
        <w:tab/>
      </w:r>
      <w:r w:rsidR="00D30D61" w:rsidRPr="009C2501">
        <w:rPr>
          <w:rFonts w:ascii="Arial" w:hAnsi="Arial" w:cs="Arial"/>
          <w:sz w:val="20"/>
          <w:szCs w:val="20"/>
          <w:lang w:eastAsia="en-US"/>
        </w:rPr>
        <w:tab/>
      </w:r>
      <w:hyperlink r:id="rId89" w:history="1">
        <w:r w:rsidR="00D30D61" w:rsidRPr="005C5DBD">
          <w:rPr>
            <w:rStyle w:val="Hyperlink"/>
            <w:rFonts w:ascii="Arial" w:hAnsi="Arial" w:cs="Arial"/>
            <w:i/>
            <w:sz w:val="20"/>
            <w:szCs w:val="20"/>
            <w:lang w:eastAsia="en-US"/>
          </w:rPr>
          <w:t>Montana Tech Safety Policy</w:t>
        </w:r>
      </w:hyperlink>
    </w:p>
    <w:p w:rsidR="00D30D61" w:rsidRPr="004B6E7E" w:rsidRDefault="00C72244" w:rsidP="001B4D6A">
      <w:pPr>
        <w:ind w:left="1440" w:hanging="1440"/>
        <w:rPr>
          <w:rFonts w:ascii="Arial" w:hAnsi="Arial" w:cs="Arial"/>
          <w:i/>
          <w:sz w:val="20"/>
          <w:szCs w:val="20"/>
          <w:u w:val="single"/>
        </w:rPr>
      </w:pPr>
      <w:r>
        <w:rPr>
          <w:rFonts w:ascii="Arial" w:hAnsi="Arial" w:cs="Arial"/>
          <w:sz w:val="20"/>
          <w:szCs w:val="20"/>
        </w:rPr>
        <w:t>3. B.V</w:t>
      </w:r>
      <w:r w:rsidR="00DB35A9" w:rsidRPr="009C2501">
        <w:rPr>
          <w:rFonts w:ascii="Arial" w:hAnsi="Arial" w:cs="Arial"/>
          <w:sz w:val="20"/>
          <w:szCs w:val="20"/>
        </w:rPr>
        <w:tab/>
      </w:r>
      <w:hyperlink r:id="rId90" w:history="1">
        <w:r w:rsidR="00875886" w:rsidRPr="000B02A3">
          <w:rPr>
            <w:rStyle w:val="Hyperlink"/>
            <w:rFonts w:ascii="Arial" w:hAnsi="Arial" w:cs="Arial"/>
            <w:i/>
            <w:sz w:val="20"/>
            <w:szCs w:val="20"/>
            <w:lang w:eastAsia="en-US"/>
          </w:rPr>
          <w:t>Campus Emergency Action and Crisis Protocol Manual</w:t>
        </w:r>
      </w:hyperlink>
      <w:r w:rsidR="00D30D61" w:rsidRPr="000B02A3">
        <w:rPr>
          <w:rFonts w:ascii="Arial" w:hAnsi="Arial" w:cs="Arial"/>
          <w:i/>
          <w:sz w:val="20"/>
          <w:szCs w:val="20"/>
          <w:u w:val="single"/>
          <w:lang w:eastAsia="en-US"/>
        </w:rPr>
        <w:t xml:space="preserve"> &amp; </w:t>
      </w:r>
      <w:hyperlink r:id="rId91" w:history="1">
        <w:r w:rsidR="00D30D61" w:rsidRPr="000B02A3">
          <w:rPr>
            <w:rStyle w:val="Hyperlink"/>
            <w:rFonts w:ascii="Arial" w:hAnsi="Arial" w:cs="Arial"/>
            <w:i/>
            <w:sz w:val="20"/>
            <w:szCs w:val="20"/>
          </w:rPr>
          <w:t>Student Life Programs Emergency Procedures Manual</w:t>
        </w:r>
      </w:hyperlink>
    </w:p>
    <w:p w:rsidR="00A97730" w:rsidRPr="00C72244" w:rsidRDefault="00510A00" w:rsidP="001B4D6A">
      <w:pPr>
        <w:rPr>
          <w:rFonts w:ascii="Arial" w:hAnsi="Arial" w:cs="Arial"/>
          <w:i/>
          <w:sz w:val="20"/>
          <w:szCs w:val="20"/>
          <w:u w:val="single"/>
        </w:rPr>
      </w:pPr>
      <w:r w:rsidRPr="009C2501">
        <w:rPr>
          <w:rFonts w:ascii="Arial" w:hAnsi="Arial" w:cs="Arial"/>
          <w:sz w:val="20"/>
          <w:szCs w:val="20"/>
        </w:rPr>
        <w:t>3. B.</w:t>
      </w:r>
      <w:r w:rsidR="00C72244">
        <w:rPr>
          <w:rFonts w:ascii="Arial" w:hAnsi="Arial" w:cs="Arial"/>
          <w:sz w:val="20"/>
          <w:szCs w:val="20"/>
        </w:rPr>
        <w:t>VI</w:t>
      </w:r>
      <w:r w:rsidR="00D30D61" w:rsidRPr="009C2501">
        <w:rPr>
          <w:rFonts w:ascii="Arial" w:hAnsi="Arial" w:cs="Arial"/>
          <w:sz w:val="20"/>
          <w:szCs w:val="20"/>
        </w:rPr>
        <w:tab/>
      </w:r>
      <w:r w:rsidRPr="009C2501">
        <w:rPr>
          <w:rFonts w:ascii="Arial" w:hAnsi="Arial" w:cs="Arial"/>
          <w:sz w:val="20"/>
          <w:szCs w:val="20"/>
        </w:rPr>
        <w:tab/>
      </w:r>
      <w:r w:rsidR="00A97730" w:rsidRPr="00C72244">
        <w:rPr>
          <w:rFonts w:ascii="Arial" w:hAnsi="Arial" w:cs="Arial"/>
          <w:i/>
          <w:sz w:val="20"/>
          <w:szCs w:val="20"/>
          <w:u w:val="single"/>
        </w:rPr>
        <w:t>Surveys</w:t>
      </w:r>
    </w:p>
    <w:p w:rsidR="000D7D0C" w:rsidRDefault="00510A00" w:rsidP="001B4D6A">
      <w:pPr>
        <w:ind w:left="1440" w:firstLine="720"/>
        <w:rPr>
          <w:rFonts w:ascii="Arial" w:hAnsi="Arial" w:cs="Arial"/>
          <w:sz w:val="20"/>
          <w:szCs w:val="20"/>
        </w:rPr>
      </w:pPr>
      <w:r w:rsidRPr="009C2501">
        <w:rPr>
          <w:rFonts w:ascii="Arial" w:hAnsi="Arial" w:cs="Arial"/>
          <w:sz w:val="20"/>
          <w:szCs w:val="20"/>
        </w:rPr>
        <w:t>Student Satisfaction Inventories</w:t>
      </w:r>
      <w:r w:rsidRPr="00271393">
        <w:rPr>
          <w:rFonts w:ascii="Arial" w:hAnsi="Arial" w:cs="Arial"/>
          <w:sz w:val="20"/>
          <w:szCs w:val="20"/>
        </w:rPr>
        <w:t xml:space="preserve">, </w:t>
      </w:r>
      <w:hyperlink r:id="rId92" w:history="1">
        <w:r w:rsidR="000D7D0C" w:rsidRPr="000D7D0C">
          <w:rPr>
            <w:rStyle w:val="Hyperlink"/>
            <w:rFonts w:ascii="Arial" w:hAnsi="Arial" w:cs="Arial"/>
            <w:sz w:val="20"/>
            <w:szCs w:val="20"/>
          </w:rPr>
          <w:t>2007-2005 North</w:t>
        </w:r>
      </w:hyperlink>
      <w:r w:rsidR="008D370A">
        <w:t xml:space="preserve">, </w:t>
      </w:r>
      <w:hyperlink r:id="rId93" w:history="1">
        <w:r w:rsidR="000D7D0C" w:rsidRPr="000D7D0C">
          <w:rPr>
            <w:rStyle w:val="Hyperlink"/>
            <w:rFonts w:ascii="Arial" w:hAnsi="Arial" w:cs="Arial"/>
            <w:sz w:val="20"/>
            <w:szCs w:val="20"/>
          </w:rPr>
          <w:t>2007-2005 South</w:t>
        </w:r>
      </w:hyperlink>
      <w:r w:rsidR="008D370A" w:rsidRPr="009C2501">
        <w:rPr>
          <w:rFonts w:ascii="Arial" w:hAnsi="Arial" w:cs="Arial"/>
          <w:sz w:val="20"/>
          <w:szCs w:val="20"/>
        </w:rPr>
        <w:t xml:space="preserve">, </w:t>
      </w:r>
    </w:p>
    <w:p w:rsidR="00510A00" w:rsidRPr="009C2501" w:rsidRDefault="000D7D0C" w:rsidP="001B4D6A">
      <w:pPr>
        <w:ind w:left="1440" w:firstLine="720"/>
        <w:rPr>
          <w:rFonts w:ascii="Arial" w:hAnsi="Arial" w:cs="Arial"/>
          <w:sz w:val="20"/>
          <w:szCs w:val="20"/>
        </w:rPr>
      </w:pPr>
      <w:r w:rsidRPr="009C2501">
        <w:rPr>
          <w:rFonts w:ascii="Arial" w:hAnsi="Arial" w:cs="Arial"/>
          <w:sz w:val="20"/>
          <w:szCs w:val="20"/>
        </w:rPr>
        <w:t xml:space="preserve">Student Satisfaction Inventories </w:t>
      </w:r>
      <w:r w:rsidR="008D370A" w:rsidRPr="009C2501">
        <w:rPr>
          <w:rFonts w:ascii="Arial" w:hAnsi="Arial" w:cs="Arial"/>
          <w:sz w:val="20"/>
          <w:szCs w:val="20"/>
        </w:rPr>
        <w:t>2003</w:t>
      </w:r>
      <w:r w:rsidR="008D370A">
        <w:rPr>
          <w:rFonts w:ascii="Arial" w:hAnsi="Arial" w:cs="Arial"/>
          <w:sz w:val="20"/>
          <w:szCs w:val="20"/>
        </w:rPr>
        <w:t>, 2001</w:t>
      </w:r>
    </w:p>
    <w:p w:rsidR="00A9773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t>Residence Hall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Counseling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Dining Hall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Student Activities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Orientation Surveys/Evaluations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Tech Day Surveys/Evaluations</w:t>
      </w:r>
    </w:p>
    <w:p w:rsidR="00510A00" w:rsidRPr="009C2501" w:rsidRDefault="00510A00" w:rsidP="001B4D6A">
      <w:pPr>
        <w:rPr>
          <w:rFonts w:ascii="Arial" w:hAnsi="Arial" w:cs="Arial"/>
          <w:sz w:val="20"/>
          <w:szCs w:val="20"/>
        </w:rPr>
      </w:pPr>
      <w:r w:rsidRPr="009C2501">
        <w:rPr>
          <w:rFonts w:ascii="Arial" w:hAnsi="Arial" w:cs="Arial"/>
          <w:sz w:val="20"/>
          <w:szCs w:val="20"/>
        </w:rPr>
        <w:tab/>
      </w:r>
      <w:r w:rsidR="00A97730"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Tobacco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Graduate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Career Fair Surveys</w:t>
      </w:r>
    </w:p>
    <w:p w:rsidR="000F73D1" w:rsidRDefault="000F73D1" w:rsidP="001B4D6A">
      <w:pPr>
        <w:rPr>
          <w:rFonts w:ascii="Arial" w:hAnsi="Arial" w:cs="Arial"/>
          <w:sz w:val="20"/>
          <w:szCs w:val="20"/>
        </w:rPr>
      </w:pPr>
    </w:p>
    <w:p w:rsidR="000F73D1" w:rsidRPr="009C2501" w:rsidRDefault="000F73D1" w:rsidP="001B4D6A">
      <w:pPr>
        <w:rPr>
          <w:rFonts w:ascii="Arial" w:hAnsi="Arial" w:cs="Arial"/>
          <w:sz w:val="20"/>
          <w:szCs w:val="20"/>
        </w:rPr>
      </w:pPr>
      <w:r>
        <w:rPr>
          <w:rFonts w:ascii="Arial" w:hAnsi="Arial" w:cs="Arial"/>
          <w:sz w:val="20"/>
          <w:szCs w:val="20"/>
        </w:rPr>
        <w:t>3. D.I</w:t>
      </w:r>
      <w:r w:rsidRPr="009C2501">
        <w:rPr>
          <w:rFonts w:ascii="Arial" w:hAnsi="Arial" w:cs="Arial"/>
          <w:sz w:val="20"/>
          <w:szCs w:val="20"/>
        </w:rPr>
        <w:tab/>
      </w:r>
      <w:r w:rsidRPr="009C2501">
        <w:rPr>
          <w:rFonts w:ascii="Arial" w:hAnsi="Arial" w:cs="Arial"/>
          <w:sz w:val="20"/>
          <w:szCs w:val="20"/>
        </w:rPr>
        <w:tab/>
      </w:r>
      <w:hyperlink r:id="rId94" w:history="1">
        <w:r w:rsidRPr="008031F8">
          <w:rPr>
            <w:rStyle w:val="Hyperlink"/>
            <w:rFonts w:ascii="Arial" w:hAnsi="Arial" w:cs="Arial"/>
            <w:i/>
            <w:sz w:val="20"/>
            <w:szCs w:val="20"/>
          </w:rPr>
          <w:t>Convicted Applicant Offender Decision Matrix</w:t>
        </w:r>
      </w:hyperlink>
    </w:p>
    <w:p w:rsidR="003E47AE" w:rsidRDefault="009043AF" w:rsidP="001B4D6A">
      <w:pPr>
        <w:rPr>
          <w:rFonts w:ascii="Arial" w:hAnsi="Arial" w:cs="Arial"/>
          <w:i/>
          <w:sz w:val="20"/>
          <w:szCs w:val="20"/>
          <w:u w:val="single"/>
        </w:rPr>
      </w:pPr>
      <w:r w:rsidRPr="009C2501">
        <w:rPr>
          <w:rFonts w:ascii="Arial" w:hAnsi="Arial" w:cs="Arial"/>
          <w:sz w:val="20"/>
          <w:szCs w:val="20"/>
        </w:rPr>
        <w:t>3. D.I</w:t>
      </w:r>
      <w:r w:rsidR="000F73D1">
        <w:rPr>
          <w:rFonts w:ascii="Arial" w:hAnsi="Arial" w:cs="Arial"/>
          <w:sz w:val="20"/>
          <w:szCs w:val="20"/>
        </w:rPr>
        <w:t>I</w:t>
      </w:r>
      <w:r w:rsidR="003E47AE" w:rsidRPr="009C2501">
        <w:rPr>
          <w:rFonts w:ascii="Arial" w:hAnsi="Arial" w:cs="Arial"/>
          <w:sz w:val="20"/>
          <w:szCs w:val="20"/>
        </w:rPr>
        <w:tab/>
      </w:r>
      <w:r w:rsidR="003E47AE" w:rsidRPr="009C2501">
        <w:rPr>
          <w:rFonts w:ascii="Arial" w:hAnsi="Arial" w:cs="Arial"/>
          <w:sz w:val="20"/>
          <w:szCs w:val="20"/>
        </w:rPr>
        <w:tab/>
      </w:r>
      <w:hyperlink r:id="rId95" w:history="1">
        <w:r w:rsidR="003E47AE" w:rsidRPr="00B01EF3">
          <w:rPr>
            <w:rStyle w:val="Hyperlink"/>
            <w:rFonts w:ascii="Arial" w:hAnsi="Arial" w:cs="Arial"/>
            <w:i/>
            <w:sz w:val="20"/>
            <w:szCs w:val="20"/>
          </w:rPr>
          <w:t>Application for Degree Forms</w:t>
        </w:r>
      </w:hyperlink>
      <w:r w:rsidR="006E4D70">
        <w:rPr>
          <w:rFonts w:ascii="Arial" w:hAnsi="Arial" w:cs="Arial"/>
          <w:i/>
          <w:sz w:val="20"/>
          <w:szCs w:val="20"/>
          <w:u w:val="single"/>
        </w:rPr>
        <w:t xml:space="preserve"> </w:t>
      </w:r>
    </w:p>
    <w:p w:rsidR="00C72244" w:rsidRPr="009C2501" w:rsidRDefault="00C72244" w:rsidP="001B4D6A">
      <w:pPr>
        <w:rPr>
          <w:rFonts w:ascii="Arial" w:hAnsi="Arial" w:cs="Arial"/>
          <w:sz w:val="20"/>
          <w:szCs w:val="20"/>
        </w:rPr>
      </w:pPr>
      <w:r w:rsidRPr="009C2501">
        <w:rPr>
          <w:rFonts w:ascii="Arial" w:hAnsi="Arial" w:cs="Arial"/>
          <w:sz w:val="20"/>
          <w:szCs w:val="20"/>
        </w:rPr>
        <w:t>3. D.</w:t>
      </w:r>
      <w:r>
        <w:rPr>
          <w:rFonts w:ascii="Arial" w:hAnsi="Arial" w:cs="Arial"/>
          <w:sz w:val="20"/>
          <w:szCs w:val="20"/>
        </w:rPr>
        <w:t>III</w:t>
      </w:r>
      <w:r w:rsidRPr="009C2501">
        <w:rPr>
          <w:rFonts w:ascii="Arial" w:hAnsi="Arial" w:cs="Arial"/>
          <w:sz w:val="20"/>
          <w:szCs w:val="20"/>
        </w:rPr>
        <w:tab/>
      </w:r>
      <w:r w:rsidRPr="009C2501">
        <w:rPr>
          <w:rFonts w:ascii="Arial" w:hAnsi="Arial" w:cs="Arial"/>
          <w:sz w:val="20"/>
          <w:szCs w:val="20"/>
        </w:rPr>
        <w:tab/>
        <w:t xml:space="preserve">Financial Aid </w:t>
      </w:r>
      <w:r>
        <w:rPr>
          <w:rFonts w:ascii="Arial" w:hAnsi="Arial" w:cs="Arial"/>
          <w:sz w:val="20"/>
          <w:szCs w:val="20"/>
        </w:rPr>
        <w:t xml:space="preserve">Statistics, Default Rates, </w:t>
      </w:r>
      <w:r w:rsidRPr="009C2501">
        <w:rPr>
          <w:rFonts w:ascii="Arial" w:hAnsi="Arial" w:cs="Arial"/>
          <w:sz w:val="20"/>
          <w:szCs w:val="20"/>
        </w:rPr>
        <w:t>State Audits and Federal Program Reviews</w:t>
      </w:r>
      <w:r>
        <w:rPr>
          <w:rFonts w:ascii="Arial" w:hAnsi="Arial" w:cs="Arial"/>
          <w:sz w:val="20"/>
          <w:szCs w:val="20"/>
        </w:rPr>
        <w:t>*</w:t>
      </w:r>
    </w:p>
    <w:p w:rsidR="000F73D1" w:rsidRPr="009C2501" w:rsidRDefault="00C72244" w:rsidP="001B4D6A">
      <w:pPr>
        <w:rPr>
          <w:rFonts w:ascii="Arial" w:hAnsi="Arial" w:cs="Arial"/>
          <w:sz w:val="20"/>
          <w:szCs w:val="20"/>
        </w:rPr>
      </w:pPr>
      <w:r>
        <w:rPr>
          <w:rFonts w:ascii="Arial" w:hAnsi="Arial" w:cs="Arial"/>
          <w:sz w:val="20"/>
          <w:szCs w:val="20"/>
        </w:rPr>
        <w:t>3. D.IV</w:t>
      </w:r>
      <w:r w:rsidR="000F73D1" w:rsidRPr="009C2501">
        <w:rPr>
          <w:rFonts w:ascii="Arial" w:hAnsi="Arial" w:cs="Arial"/>
          <w:sz w:val="20"/>
          <w:szCs w:val="20"/>
        </w:rPr>
        <w:t xml:space="preserve"> </w:t>
      </w:r>
      <w:r w:rsidR="000F73D1" w:rsidRPr="009C2501">
        <w:rPr>
          <w:rFonts w:ascii="Arial" w:hAnsi="Arial" w:cs="Arial"/>
          <w:sz w:val="20"/>
          <w:szCs w:val="20"/>
        </w:rPr>
        <w:tab/>
      </w:r>
      <w:r w:rsidR="000F73D1" w:rsidRPr="009C2501">
        <w:rPr>
          <w:rFonts w:ascii="Arial" w:hAnsi="Arial" w:cs="Arial"/>
          <w:sz w:val="20"/>
          <w:szCs w:val="20"/>
        </w:rPr>
        <w:tab/>
      </w:r>
      <w:hyperlink r:id="rId96" w:history="1">
        <w:r w:rsidR="000F73D1" w:rsidRPr="00B01EF3">
          <w:rPr>
            <w:rStyle w:val="Hyperlink"/>
            <w:rFonts w:ascii="Arial" w:hAnsi="Arial" w:cs="Arial"/>
            <w:i/>
            <w:sz w:val="20"/>
            <w:szCs w:val="20"/>
          </w:rPr>
          <w:t>2008/2009 SEM Scholarship Proposal</w:t>
        </w:r>
      </w:hyperlink>
    </w:p>
    <w:p w:rsidR="00875886" w:rsidRDefault="00C72244" w:rsidP="001B4D6A">
      <w:pPr>
        <w:rPr>
          <w:rFonts w:ascii="Arial" w:hAnsi="Arial" w:cs="Arial"/>
          <w:sz w:val="20"/>
          <w:szCs w:val="20"/>
        </w:rPr>
      </w:pPr>
      <w:r>
        <w:rPr>
          <w:rFonts w:ascii="Arial" w:hAnsi="Arial" w:cs="Arial"/>
          <w:sz w:val="20"/>
          <w:szCs w:val="20"/>
        </w:rPr>
        <w:t>3. D.V</w:t>
      </w:r>
      <w:r w:rsidR="00B44BB7" w:rsidRPr="009C2501">
        <w:rPr>
          <w:rFonts w:ascii="Arial" w:hAnsi="Arial" w:cs="Arial"/>
          <w:sz w:val="20"/>
          <w:szCs w:val="20"/>
        </w:rPr>
        <w:tab/>
      </w:r>
      <w:r w:rsidR="00B44BB7" w:rsidRPr="009C2501">
        <w:rPr>
          <w:rFonts w:ascii="Arial" w:hAnsi="Arial" w:cs="Arial"/>
          <w:sz w:val="20"/>
          <w:szCs w:val="20"/>
        </w:rPr>
        <w:tab/>
      </w:r>
      <w:hyperlink r:id="rId97" w:history="1">
        <w:r w:rsidR="00875886" w:rsidRPr="00B01EF3">
          <w:rPr>
            <w:rStyle w:val="Hyperlink"/>
            <w:rFonts w:ascii="Arial" w:hAnsi="Arial" w:cs="Arial"/>
            <w:i/>
            <w:sz w:val="20"/>
            <w:szCs w:val="20"/>
          </w:rPr>
          <w:t>Orientation Programs</w:t>
        </w:r>
      </w:hyperlink>
    </w:p>
    <w:p w:rsidR="004C471D" w:rsidRPr="009C2501" w:rsidRDefault="004C471D" w:rsidP="001B4D6A">
      <w:pPr>
        <w:rPr>
          <w:rFonts w:ascii="Arial" w:hAnsi="Arial" w:cs="Arial"/>
          <w:sz w:val="20"/>
          <w:szCs w:val="20"/>
        </w:rPr>
      </w:pPr>
      <w:r>
        <w:rPr>
          <w:rFonts w:ascii="Arial" w:hAnsi="Arial" w:cs="Arial"/>
          <w:sz w:val="20"/>
          <w:szCs w:val="20"/>
        </w:rPr>
        <w:t>3. D</w:t>
      </w:r>
      <w:r w:rsidRPr="009C2501">
        <w:rPr>
          <w:rFonts w:ascii="Arial" w:hAnsi="Arial" w:cs="Arial"/>
          <w:sz w:val="20"/>
          <w:szCs w:val="20"/>
        </w:rPr>
        <w:t>.</w:t>
      </w:r>
      <w:r>
        <w:rPr>
          <w:rFonts w:ascii="Arial" w:hAnsi="Arial" w:cs="Arial"/>
          <w:sz w:val="20"/>
          <w:szCs w:val="20"/>
        </w:rPr>
        <w:t>V</w:t>
      </w:r>
      <w:r w:rsidR="00C72244">
        <w:rPr>
          <w:rFonts w:ascii="Arial" w:hAnsi="Arial" w:cs="Arial"/>
          <w:sz w:val="20"/>
          <w:szCs w:val="20"/>
        </w:rPr>
        <w:t>I</w:t>
      </w:r>
      <w:r w:rsidRPr="009C2501">
        <w:rPr>
          <w:rFonts w:ascii="Arial" w:hAnsi="Arial" w:cs="Arial"/>
          <w:sz w:val="20"/>
          <w:szCs w:val="20"/>
        </w:rPr>
        <w:tab/>
      </w:r>
      <w:r w:rsidRPr="009C2501">
        <w:rPr>
          <w:rFonts w:ascii="Arial" w:hAnsi="Arial" w:cs="Arial"/>
          <w:sz w:val="20"/>
          <w:szCs w:val="20"/>
        </w:rPr>
        <w:tab/>
      </w:r>
      <w:hyperlink r:id="rId98" w:history="1">
        <w:r w:rsidRPr="00B01EF3">
          <w:rPr>
            <w:rStyle w:val="Hyperlink"/>
            <w:rFonts w:ascii="Arial" w:hAnsi="Arial" w:cs="Arial"/>
            <w:i/>
            <w:sz w:val="20"/>
            <w:szCs w:val="20"/>
          </w:rPr>
          <w:t>Major Exploration Brochure</w:t>
        </w:r>
      </w:hyperlink>
    </w:p>
    <w:p w:rsidR="000904B1" w:rsidRPr="000904B1" w:rsidRDefault="003E47AE" w:rsidP="001B4D6A">
      <w:pPr>
        <w:rPr>
          <w:rFonts w:ascii="Arial" w:hAnsi="Arial" w:cs="Arial"/>
          <w:b/>
          <w:color w:val="1F497D"/>
          <w:sz w:val="20"/>
          <w:szCs w:val="20"/>
        </w:rPr>
      </w:pPr>
      <w:r w:rsidRPr="009C2501">
        <w:rPr>
          <w:rFonts w:ascii="Arial" w:hAnsi="Arial" w:cs="Arial"/>
          <w:sz w:val="20"/>
          <w:szCs w:val="20"/>
        </w:rPr>
        <w:t>3. D.</w:t>
      </w:r>
      <w:r w:rsidR="009043AF" w:rsidRPr="009C2501">
        <w:rPr>
          <w:rFonts w:ascii="Arial" w:hAnsi="Arial" w:cs="Arial"/>
          <w:sz w:val="20"/>
          <w:szCs w:val="20"/>
        </w:rPr>
        <w:t>V</w:t>
      </w:r>
      <w:r w:rsidR="00C72244">
        <w:rPr>
          <w:rFonts w:ascii="Arial" w:hAnsi="Arial" w:cs="Arial"/>
          <w:sz w:val="20"/>
          <w:szCs w:val="20"/>
        </w:rPr>
        <w:t>II</w:t>
      </w:r>
      <w:r w:rsidRPr="009C2501">
        <w:rPr>
          <w:rFonts w:ascii="Arial" w:hAnsi="Arial" w:cs="Arial"/>
          <w:sz w:val="20"/>
          <w:szCs w:val="20"/>
        </w:rPr>
        <w:tab/>
      </w:r>
      <w:r w:rsidRPr="009C2501">
        <w:rPr>
          <w:rFonts w:ascii="Arial" w:hAnsi="Arial" w:cs="Arial"/>
          <w:sz w:val="20"/>
          <w:szCs w:val="20"/>
        </w:rPr>
        <w:tab/>
      </w:r>
      <w:hyperlink r:id="rId99" w:history="1">
        <w:r w:rsidRPr="00B01EF3">
          <w:rPr>
            <w:rStyle w:val="Hyperlink"/>
            <w:rFonts w:ascii="Arial" w:hAnsi="Arial" w:cs="Arial"/>
            <w:i/>
            <w:sz w:val="20"/>
            <w:szCs w:val="20"/>
          </w:rPr>
          <w:t xml:space="preserve">2008 Graduate </w:t>
        </w:r>
        <w:r w:rsidR="000904B1" w:rsidRPr="00B01EF3">
          <w:rPr>
            <w:rStyle w:val="Hyperlink"/>
            <w:rFonts w:ascii="Arial" w:hAnsi="Arial" w:cs="Arial"/>
            <w:i/>
            <w:sz w:val="20"/>
            <w:szCs w:val="20"/>
          </w:rPr>
          <w:t>Survey</w:t>
        </w:r>
      </w:hyperlink>
      <w:r w:rsidR="000904B1">
        <w:rPr>
          <w:rFonts w:ascii="Arial" w:hAnsi="Arial" w:cs="Arial"/>
          <w:i/>
          <w:sz w:val="20"/>
          <w:szCs w:val="20"/>
          <w:u w:val="single"/>
        </w:rPr>
        <w:t xml:space="preserve"> </w:t>
      </w:r>
    </w:p>
    <w:p w:rsidR="004C471D" w:rsidRPr="004C471D" w:rsidRDefault="004C471D" w:rsidP="001B4D6A">
      <w:pPr>
        <w:rPr>
          <w:rFonts w:ascii="Arial" w:hAnsi="Arial" w:cs="Arial"/>
          <w:sz w:val="20"/>
          <w:szCs w:val="20"/>
        </w:rPr>
      </w:pPr>
      <w:r w:rsidRPr="004C471D">
        <w:rPr>
          <w:rFonts w:ascii="Arial" w:hAnsi="Arial" w:cs="Arial"/>
          <w:sz w:val="20"/>
          <w:szCs w:val="20"/>
        </w:rPr>
        <w:t>3</w:t>
      </w:r>
      <w:r>
        <w:rPr>
          <w:rFonts w:ascii="Arial" w:hAnsi="Arial" w:cs="Arial"/>
          <w:sz w:val="20"/>
          <w:szCs w:val="20"/>
        </w:rPr>
        <w:t>. D.VII</w:t>
      </w:r>
      <w:r w:rsidR="00C72244">
        <w:rPr>
          <w:rFonts w:ascii="Arial" w:hAnsi="Arial" w:cs="Arial"/>
          <w:sz w:val="20"/>
          <w:szCs w:val="20"/>
        </w:rPr>
        <w:t>I</w:t>
      </w:r>
      <w:r w:rsidRPr="004C471D">
        <w:rPr>
          <w:rFonts w:ascii="Arial" w:hAnsi="Arial" w:cs="Arial"/>
          <w:sz w:val="20"/>
          <w:szCs w:val="20"/>
        </w:rPr>
        <w:tab/>
      </w:r>
      <w:hyperlink r:id="rId100" w:history="1">
        <w:r w:rsidRPr="00B01EF3">
          <w:rPr>
            <w:rStyle w:val="Hyperlink"/>
            <w:rFonts w:ascii="Arial" w:hAnsi="Arial" w:cs="Arial"/>
            <w:i/>
            <w:sz w:val="20"/>
            <w:szCs w:val="20"/>
          </w:rPr>
          <w:t>Health Center User Statistics</w:t>
        </w:r>
      </w:hyperlink>
      <w:r w:rsidRPr="004C471D">
        <w:rPr>
          <w:rFonts w:ascii="Arial" w:hAnsi="Arial" w:cs="Arial"/>
          <w:sz w:val="20"/>
          <w:szCs w:val="20"/>
        </w:rPr>
        <w:t xml:space="preserve"> </w:t>
      </w:r>
    </w:p>
    <w:p w:rsidR="005A466F" w:rsidRPr="005A466F" w:rsidRDefault="003E47AE" w:rsidP="001B4D6A">
      <w:pPr>
        <w:rPr>
          <w:rFonts w:ascii="Arial" w:hAnsi="Arial" w:cs="Arial"/>
          <w:i/>
          <w:color w:val="1F497D"/>
          <w:sz w:val="20"/>
          <w:szCs w:val="20"/>
        </w:rPr>
      </w:pPr>
      <w:r w:rsidRPr="009C2501">
        <w:rPr>
          <w:rFonts w:ascii="Arial" w:hAnsi="Arial" w:cs="Arial"/>
          <w:sz w:val="20"/>
          <w:szCs w:val="20"/>
        </w:rPr>
        <w:t>3. D.</w:t>
      </w:r>
      <w:r w:rsidR="00C72244">
        <w:rPr>
          <w:rFonts w:ascii="Arial" w:hAnsi="Arial" w:cs="Arial"/>
          <w:sz w:val="20"/>
          <w:szCs w:val="20"/>
        </w:rPr>
        <w:t xml:space="preserve">IX  </w:t>
      </w:r>
      <w:r w:rsidR="00B44BB7" w:rsidRPr="009C2501">
        <w:rPr>
          <w:rFonts w:ascii="Arial" w:hAnsi="Arial" w:cs="Arial"/>
          <w:sz w:val="20"/>
          <w:szCs w:val="20"/>
        </w:rPr>
        <w:tab/>
      </w:r>
      <w:hyperlink r:id="rId101" w:history="1">
        <w:r w:rsidR="00875886" w:rsidRPr="00B01EF3">
          <w:rPr>
            <w:rStyle w:val="Hyperlink"/>
            <w:rFonts w:ascii="Arial" w:hAnsi="Arial" w:cs="Arial"/>
            <w:i/>
            <w:sz w:val="20"/>
            <w:szCs w:val="20"/>
          </w:rPr>
          <w:t>Residence Life Handbook</w:t>
        </w:r>
      </w:hyperlink>
      <w:r w:rsidR="005A466F">
        <w:rPr>
          <w:rFonts w:ascii="Arial" w:hAnsi="Arial" w:cs="Arial"/>
          <w:i/>
          <w:sz w:val="20"/>
          <w:szCs w:val="20"/>
        </w:rPr>
        <w:t xml:space="preserve"> </w:t>
      </w:r>
    </w:p>
    <w:p w:rsidR="007505E1" w:rsidRPr="009C2501" w:rsidRDefault="003E47AE" w:rsidP="001B4D6A">
      <w:pPr>
        <w:rPr>
          <w:rFonts w:ascii="Arial" w:hAnsi="Arial" w:cs="Arial"/>
          <w:sz w:val="20"/>
          <w:szCs w:val="20"/>
        </w:rPr>
      </w:pPr>
      <w:r w:rsidRPr="009C2501">
        <w:rPr>
          <w:rFonts w:ascii="Arial" w:hAnsi="Arial" w:cs="Arial"/>
          <w:sz w:val="20"/>
          <w:szCs w:val="20"/>
        </w:rPr>
        <w:t>3. D.</w:t>
      </w:r>
      <w:r w:rsidR="004C471D">
        <w:rPr>
          <w:rFonts w:ascii="Arial" w:hAnsi="Arial" w:cs="Arial"/>
          <w:sz w:val="20"/>
          <w:szCs w:val="20"/>
        </w:rPr>
        <w:t>X</w:t>
      </w:r>
      <w:r w:rsidRPr="009C2501">
        <w:rPr>
          <w:rFonts w:ascii="Arial" w:hAnsi="Arial" w:cs="Arial"/>
          <w:sz w:val="20"/>
          <w:szCs w:val="20"/>
        </w:rPr>
        <w:tab/>
      </w:r>
      <w:r w:rsidR="007505E1" w:rsidRPr="009C2501">
        <w:rPr>
          <w:rFonts w:ascii="Arial" w:hAnsi="Arial" w:cs="Arial"/>
          <w:sz w:val="20"/>
          <w:szCs w:val="20"/>
        </w:rPr>
        <w:tab/>
      </w:r>
      <w:r w:rsidR="007505E1" w:rsidRPr="004B6E7E">
        <w:rPr>
          <w:rFonts w:ascii="Arial" w:hAnsi="Arial" w:cs="Arial"/>
          <w:i/>
          <w:sz w:val="20"/>
          <w:szCs w:val="20"/>
          <w:u w:val="single"/>
        </w:rPr>
        <w:t>Dining Services Inspection Reports</w:t>
      </w:r>
    </w:p>
    <w:p w:rsidR="00126410" w:rsidRPr="009C2501" w:rsidRDefault="004C471D" w:rsidP="001B4D6A">
      <w:pPr>
        <w:rPr>
          <w:rFonts w:ascii="Arial" w:hAnsi="Arial" w:cs="Arial"/>
          <w:sz w:val="20"/>
          <w:szCs w:val="20"/>
        </w:rPr>
      </w:pPr>
      <w:r>
        <w:rPr>
          <w:rFonts w:ascii="Arial" w:hAnsi="Arial" w:cs="Arial"/>
          <w:sz w:val="20"/>
          <w:szCs w:val="20"/>
        </w:rPr>
        <w:t>3. D.X</w:t>
      </w:r>
      <w:r w:rsidR="00C72244">
        <w:rPr>
          <w:rFonts w:ascii="Arial" w:hAnsi="Arial" w:cs="Arial"/>
          <w:sz w:val="20"/>
          <w:szCs w:val="20"/>
        </w:rPr>
        <w:t>I</w:t>
      </w:r>
      <w:r w:rsidR="00126410" w:rsidRPr="009C2501">
        <w:rPr>
          <w:rFonts w:ascii="Arial" w:hAnsi="Arial" w:cs="Arial"/>
          <w:sz w:val="20"/>
          <w:szCs w:val="20"/>
        </w:rPr>
        <w:tab/>
      </w:r>
      <w:r w:rsidR="009C2501">
        <w:rPr>
          <w:rFonts w:ascii="Arial" w:hAnsi="Arial" w:cs="Arial"/>
          <w:sz w:val="20"/>
          <w:szCs w:val="20"/>
        </w:rPr>
        <w:tab/>
      </w:r>
      <w:hyperlink r:id="rId102" w:history="1">
        <w:r w:rsidR="00575E50" w:rsidRPr="00D83DAB">
          <w:rPr>
            <w:rStyle w:val="Hyperlink"/>
            <w:rFonts w:ascii="Arial" w:hAnsi="Arial" w:cs="Arial"/>
            <w:i/>
            <w:sz w:val="20"/>
            <w:szCs w:val="20"/>
          </w:rPr>
          <w:t>2009/2010 Recognized Clubs**</w:t>
        </w:r>
      </w:hyperlink>
      <w:r w:rsidR="00FF3572" w:rsidRPr="00D83DAB">
        <w:rPr>
          <w:rFonts w:ascii="Arial" w:hAnsi="Arial" w:cs="Arial"/>
          <w:i/>
          <w:sz w:val="20"/>
          <w:szCs w:val="20"/>
          <w:u w:val="single"/>
        </w:rPr>
        <w:t xml:space="preserve"> </w:t>
      </w:r>
      <w:r w:rsidR="00FF3572" w:rsidRPr="00E846BE">
        <w:rPr>
          <w:rFonts w:ascii="Arial" w:hAnsi="Arial" w:cs="Arial"/>
          <w:i/>
          <w:sz w:val="20"/>
          <w:szCs w:val="20"/>
          <w:u w:val="single"/>
        </w:rPr>
        <w:t xml:space="preserve">&amp; </w:t>
      </w:r>
      <w:hyperlink r:id="rId103" w:history="1">
        <w:r w:rsidR="00FF3572" w:rsidRPr="00E846BE">
          <w:rPr>
            <w:rStyle w:val="Hyperlink"/>
            <w:rFonts w:ascii="Arial" w:hAnsi="Arial" w:cs="Arial"/>
            <w:i/>
            <w:sz w:val="20"/>
            <w:szCs w:val="20"/>
          </w:rPr>
          <w:t>Student Organization Application Form</w:t>
        </w:r>
      </w:hyperlink>
    </w:p>
    <w:p w:rsidR="00875886" w:rsidRDefault="00B44BB7" w:rsidP="001B4D6A">
      <w:pPr>
        <w:rPr>
          <w:rFonts w:ascii="Arial" w:hAnsi="Arial" w:cs="Arial"/>
          <w:sz w:val="20"/>
          <w:szCs w:val="20"/>
          <w:u w:val="single"/>
        </w:rPr>
      </w:pPr>
      <w:r w:rsidRPr="009C2501">
        <w:rPr>
          <w:rFonts w:ascii="Arial" w:hAnsi="Arial" w:cs="Arial"/>
          <w:sz w:val="20"/>
          <w:szCs w:val="20"/>
        </w:rPr>
        <w:t>3</w:t>
      </w:r>
      <w:r w:rsidR="009C2501" w:rsidRPr="009C2501">
        <w:rPr>
          <w:rFonts w:ascii="Arial" w:hAnsi="Arial" w:cs="Arial"/>
          <w:sz w:val="20"/>
          <w:szCs w:val="20"/>
        </w:rPr>
        <w:t>. D.</w:t>
      </w:r>
      <w:r w:rsidR="004C471D">
        <w:rPr>
          <w:rFonts w:ascii="Arial" w:hAnsi="Arial" w:cs="Arial"/>
          <w:sz w:val="20"/>
          <w:szCs w:val="20"/>
        </w:rPr>
        <w:t>XI</w:t>
      </w:r>
      <w:r w:rsidR="00C72244">
        <w:rPr>
          <w:rFonts w:ascii="Arial" w:hAnsi="Arial" w:cs="Arial"/>
          <w:sz w:val="20"/>
          <w:szCs w:val="20"/>
        </w:rPr>
        <w:t>I</w:t>
      </w:r>
      <w:r w:rsidRPr="009C2501">
        <w:rPr>
          <w:rFonts w:ascii="Arial" w:hAnsi="Arial" w:cs="Arial"/>
          <w:sz w:val="20"/>
          <w:szCs w:val="20"/>
        </w:rPr>
        <w:tab/>
      </w:r>
      <w:r w:rsidR="009C2501">
        <w:rPr>
          <w:rFonts w:ascii="Arial" w:hAnsi="Arial" w:cs="Arial"/>
          <w:sz w:val="20"/>
          <w:szCs w:val="20"/>
        </w:rPr>
        <w:tab/>
      </w:r>
      <w:r w:rsidR="00875886" w:rsidRPr="004B6E7E">
        <w:rPr>
          <w:rFonts w:ascii="Arial" w:hAnsi="Arial" w:cs="Arial"/>
          <w:i/>
          <w:sz w:val="20"/>
          <w:szCs w:val="20"/>
          <w:u w:val="single"/>
        </w:rPr>
        <w:t xml:space="preserve">Campus Newspaper </w:t>
      </w:r>
      <w:r w:rsidR="003E47AE" w:rsidRPr="004B6E7E">
        <w:rPr>
          <w:rFonts w:ascii="Arial" w:hAnsi="Arial" w:cs="Arial"/>
          <w:i/>
          <w:sz w:val="20"/>
          <w:szCs w:val="20"/>
          <w:u w:val="single"/>
        </w:rPr>
        <w:t>–</w:t>
      </w:r>
      <w:r w:rsidR="00875886" w:rsidRPr="004B6E7E">
        <w:rPr>
          <w:rFonts w:ascii="Arial" w:hAnsi="Arial" w:cs="Arial"/>
          <w:i/>
          <w:sz w:val="20"/>
          <w:szCs w:val="20"/>
          <w:u w:val="single"/>
        </w:rPr>
        <w:t xml:space="preserve"> Technocrat</w:t>
      </w:r>
      <w:r w:rsidR="00575E50" w:rsidRPr="004B6E7E">
        <w:rPr>
          <w:rFonts w:ascii="Arial" w:hAnsi="Arial" w:cs="Arial"/>
          <w:sz w:val="20"/>
          <w:szCs w:val="20"/>
        </w:rPr>
        <w:t>**</w:t>
      </w:r>
    </w:p>
    <w:p w:rsidR="0035034D" w:rsidRPr="0035034D" w:rsidRDefault="0035034D" w:rsidP="001B4D6A">
      <w:pPr>
        <w:ind w:left="1440" w:hanging="1440"/>
        <w:rPr>
          <w:rFonts w:ascii="Arial" w:hAnsi="Arial" w:cs="Arial"/>
          <w:sz w:val="20"/>
          <w:szCs w:val="20"/>
        </w:rPr>
      </w:pPr>
      <w:r>
        <w:rPr>
          <w:rFonts w:ascii="Arial" w:hAnsi="Arial" w:cs="Arial"/>
          <w:sz w:val="20"/>
          <w:szCs w:val="20"/>
        </w:rPr>
        <w:t>3</w:t>
      </w:r>
      <w:r w:rsidR="00271393">
        <w:rPr>
          <w:rFonts w:ascii="Arial" w:hAnsi="Arial" w:cs="Arial"/>
          <w:sz w:val="20"/>
          <w:szCs w:val="20"/>
        </w:rPr>
        <w:t>. D.XII</w:t>
      </w:r>
      <w:r w:rsidR="005F4E16">
        <w:rPr>
          <w:rFonts w:ascii="Arial" w:hAnsi="Arial" w:cs="Arial"/>
          <w:sz w:val="20"/>
          <w:szCs w:val="20"/>
        </w:rPr>
        <w:t>I</w:t>
      </w:r>
      <w:r>
        <w:rPr>
          <w:rFonts w:ascii="Arial" w:hAnsi="Arial" w:cs="Arial"/>
          <w:sz w:val="20"/>
          <w:szCs w:val="20"/>
        </w:rPr>
        <w:tab/>
      </w:r>
      <w:r w:rsidR="005F4E16">
        <w:rPr>
          <w:rFonts w:ascii="Arial" w:hAnsi="Arial" w:cs="Arial"/>
          <w:i/>
          <w:sz w:val="20"/>
          <w:szCs w:val="20"/>
          <w:u w:val="single"/>
        </w:rPr>
        <w:t xml:space="preserve">Student </w:t>
      </w:r>
      <w:r w:rsidR="00575E50" w:rsidRPr="00402D24">
        <w:rPr>
          <w:rFonts w:ascii="Arial" w:hAnsi="Arial" w:cs="Arial"/>
          <w:i/>
          <w:sz w:val="20"/>
          <w:szCs w:val="20"/>
          <w:u w:val="single"/>
        </w:rPr>
        <w:t>Right-to-Know Act</w:t>
      </w:r>
      <w:r w:rsidR="00402D24">
        <w:rPr>
          <w:rFonts w:ascii="Arial" w:hAnsi="Arial" w:cs="Arial"/>
          <w:i/>
          <w:sz w:val="20"/>
          <w:szCs w:val="20"/>
          <w:u w:val="single"/>
        </w:rPr>
        <w:t>-</w:t>
      </w:r>
      <w:hyperlink r:id="rId104" w:history="1">
        <w:r w:rsidR="00402D24" w:rsidRPr="00CA23F7">
          <w:rPr>
            <w:rStyle w:val="Hyperlink"/>
            <w:rFonts w:ascii="Arial" w:hAnsi="Arial" w:cs="Arial"/>
            <w:i/>
            <w:sz w:val="20"/>
            <w:szCs w:val="20"/>
          </w:rPr>
          <w:t>Graduation/Completion &amp; Transfer Out Rates</w:t>
        </w:r>
      </w:hyperlink>
      <w:r w:rsidR="00402D24" w:rsidRPr="00CA23F7">
        <w:rPr>
          <w:rFonts w:ascii="Arial" w:hAnsi="Arial" w:cs="Arial"/>
          <w:i/>
          <w:sz w:val="20"/>
          <w:szCs w:val="20"/>
          <w:u w:val="single"/>
        </w:rPr>
        <w:t xml:space="preserve"> and </w:t>
      </w:r>
      <w:hyperlink r:id="rId105" w:history="1">
        <w:r w:rsidR="00402D24" w:rsidRPr="00CA23F7">
          <w:rPr>
            <w:rStyle w:val="Hyperlink"/>
            <w:rFonts w:ascii="Arial" w:hAnsi="Arial" w:cs="Arial"/>
            <w:i/>
            <w:sz w:val="20"/>
            <w:szCs w:val="20"/>
          </w:rPr>
          <w:t>Annual Security Report/Campus Crime and Disclosure</w:t>
        </w:r>
      </w:hyperlink>
    </w:p>
    <w:p w:rsidR="00327890" w:rsidRPr="00FB2E41" w:rsidRDefault="005F4E16" w:rsidP="00A268B2">
      <w:pPr>
        <w:ind w:left="1440" w:hanging="1440"/>
        <w:rPr>
          <w:rFonts w:ascii="Arial" w:hAnsi="Arial" w:cs="Arial"/>
          <w:i/>
          <w:sz w:val="20"/>
          <w:szCs w:val="20"/>
          <w:u w:val="single"/>
        </w:rPr>
      </w:pPr>
      <w:r>
        <w:rPr>
          <w:rFonts w:ascii="Arial" w:hAnsi="Arial" w:cs="Arial"/>
          <w:sz w:val="20"/>
          <w:szCs w:val="20"/>
        </w:rPr>
        <w:t>3. D.XIV</w:t>
      </w:r>
      <w:r w:rsidR="00BC7C45">
        <w:rPr>
          <w:rFonts w:ascii="Arial" w:hAnsi="Arial" w:cs="Arial"/>
          <w:sz w:val="20"/>
          <w:szCs w:val="20"/>
        </w:rPr>
        <w:tab/>
      </w:r>
      <w:r w:rsidR="00F2096D" w:rsidRPr="00483F20">
        <w:rPr>
          <w:rFonts w:ascii="Arial" w:hAnsi="Arial" w:cs="Arial"/>
          <w:i/>
          <w:sz w:val="20"/>
          <w:szCs w:val="20"/>
          <w:u w:val="single"/>
        </w:rPr>
        <w:t>Montana Tech Publications - M</w:t>
      </w:r>
      <w:r w:rsidR="00F2096D" w:rsidRPr="00483F20">
        <w:rPr>
          <w:rFonts w:ascii="Arial" w:hAnsi="Arial" w:cs="Arial"/>
          <w:i/>
          <w:sz w:val="18"/>
          <w:szCs w:val="18"/>
          <w:u w:val="single"/>
        </w:rPr>
        <w:t xml:space="preserve">NEWS, </w:t>
      </w:r>
      <w:r w:rsidR="00F2096D" w:rsidRPr="00483F20">
        <w:rPr>
          <w:rFonts w:ascii="Arial" w:hAnsi="Arial" w:cs="Arial"/>
          <w:i/>
          <w:sz w:val="22"/>
          <w:szCs w:val="22"/>
          <w:u w:val="single"/>
        </w:rPr>
        <w:t>Vision 2025</w:t>
      </w:r>
      <w:r w:rsidR="003E3FE2" w:rsidRPr="00483F20">
        <w:rPr>
          <w:rFonts w:ascii="Arial" w:hAnsi="Arial" w:cs="Arial"/>
          <w:i/>
          <w:sz w:val="22"/>
          <w:szCs w:val="22"/>
          <w:u w:val="single"/>
        </w:rPr>
        <w:t xml:space="preserve"> and marketing</w:t>
      </w:r>
      <w:r w:rsidR="00A268B2">
        <w:rPr>
          <w:rFonts w:ascii="Arial" w:hAnsi="Arial" w:cs="Arial"/>
          <w:i/>
          <w:sz w:val="22"/>
          <w:szCs w:val="22"/>
          <w:u w:val="single"/>
        </w:rPr>
        <w:t xml:space="preserve"> &amp; recruiting</w:t>
      </w:r>
      <w:r w:rsidR="003E3FE2" w:rsidRPr="00483F20">
        <w:rPr>
          <w:rFonts w:ascii="Arial" w:hAnsi="Arial" w:cs="Arial"/>
          <w:i/>
          <w:sz w:val="22"/>
          <w:szCs w:val="22"/>
          <w:u w:val="single"/>
        </w:rPr>
        <w:t xml:space="preserve"> </w:t>
      </w:r>
      <w:r w:rsidR="003E3FE2" w:rsidRPr="00FB2E41">
        <w:rPr>
          <w:rFonts w:ascii="Arial" w:hAnsi="Arial" w:cs="Arial"/>
          <w:i/>
          <w:sz w:val="20"/>
          <w:szCs w:val="20"/>
          <w:u w:val="single"/>
        </w:rPr>
        <w:t>publications</w:t>
      </w:r>
    </w:p>
    <w:p w:rsidR="00A268B2" w:rsidRPr="00FB2E41" w:rsidRDefault="00FB2E41" w:rsidP="001B4D6A">
      <w:pPr>
        <w:rPr>
          <w:rFonts w:ascii="Arial" w:hAnsi="Arial" w:cs="Arial"/>
          <w:i/>
          <w:sz w:val="20"/>
          <w:szCs w:val="20"/>
          <w:u w:val="single"/>
        </w:rPr>
      </w:pPr>
      <w:r w:rsidRPr="00FB2E41">
        <w:rPr>
          <w:rFonts w:ascii="Arial" w:hAnsi="Arial" w:cs="Arial"/>
          <w:sz w:val="20"/>
          <w:szCs w:val="20"/>
        </w:rPr>
        <w:t>3. D.XV</w:t>
      </w:r>
      <w:r w:rsidR="00A268B2" w:rsidRPr="00FB2E41">
        <w:rPr>
          <w:rFonts w:ascii="Arial" w:hAnsi="Arial" w:cs="Arial"/>
          <w:sz w:val="20"/>
          <w:szCs w:val="20"/>
        </w:rPr>
        <w:tab/>
      </w:r>
      <w:r w:rsidR="00A268B2" w:rsidRPr="00FB2E41">
        <w:rPr>
          <w:rFonts w:ascii="Arial" w:hAnsi="Arial" w:cs="Arial"/>
          <w:sz w:val="20"/>
          <w:szCs w:val="20"/>
        </w:rPr>
        <w:tab/>
      </w:r>
      <w:r w:rsidR="00A268B2" w:rsidRPr="00FB2E41">
        <w:rPr>
          <w:rFonts w:ascii="Arial" w:hAnsi="Arial" w:cs="Arial"/>
          <w:i/>
          <w:sz w:val="20"/>
          <w:szCs w:val="20"/>
          <w:u w:val="single"/>
        </w:rPr>
        <w:t>Impact of student services on students*</w:t>
      </w:r>
    </w:p>
    <w:p w:rsidR="00F2096D" w:rsidRDefault="00F2096D" w:rsidP="001B4D6A">
      <w:pPr>
        <w:rPr>
          <w:rFonts w:ascii="Arial" w:hAnsi="Arial" w:cs="Arial"/>
          <w:sz w:val="20"/>
          <w:szCs w:val="20"/>
        </w:rPr>
      </w:pPr>
    </w:p>
    <w:p w:rsidR="00F2096D" w:rsidRDefault="00F2096D" w:rsidP="001B4D6A">
      <w:pPr>
        <w:rPr>
          <w:rFonts w:ascii="Arial" w:hAnsi="Arial" w:cs="Arial"/>
          <w:sz w:val="20"/>
          <w:szCs w:val="20"/>
        </w:rPr>
      </w:pPr>
    </w:p>
    <w:p w:rsidR="00327890" w:rsidRPr="009C2501" w:rsidRDefault="00327890" w:rsidP="001B4D6A">
      <w:pPr>
        <w:rPr>
          <w:rFonts w:ascii="Arial" w:hAnsi="Arial" w:cs="Arial"/>
          <w:b/>
          <w:sz w:val="20"/>
          <w:szCs w:val="20"/>
        </w:rPr>
      </w:pPr>
      <w:r w:rsidRPr="009C2501">
        <w:rPr>
          <w:rFonts w:ascii="Arial" w:hAnsi="Arial" w:cs="Arial"/>
          <w:b/>
          <w:sz w:val="20"/>
          <w:szCs w:val="20"/>
        </w:rPr>
        <w:t>List of Figures and Tables</w:t>
      </w:r>
    </w:p>
    <w:p w:rsidR="00327890" w:rsidRPr="009C2501" w:rsidRDefault="00327890" w:rsidP="001B4D6A">
      <w:pPr>
        <w:jc w:val="center"/>
        <w:rPr>
          <w:rFonts w:ascii="Arial" w:hAnsi="Arial" w:cs="Arial"/>
          <w:b/>
          <w:sz w:val="20"/>
          <w:szCs w:val="20"/>
        </w:rPr>
      </w:pPr>
    </w:p>
    <w:p w:rsidR="00327890" w:rsidRDefault="00327890" w:rsidP="001B4D6A">
      <w:pPr>
        <w:rPr>
          <w:rFonts w:ascii="Arial" w:hAnsi="Arial" w:cs="Arial"/>
          <w:sz w:val="20"/>
          <w:szCs w:val="20"/>
        </w:rPr>
      </w:pPr>
      <w:r w:rsidRPr="009C2501">
        <w:rPr>
          <w:rFonts w:ascii="Arial" w:hAnsi="Arial" w:cs="Arial"/>
          <w:sz w:val="20"/>
          <w:szCs w:val="20"/>
        </w:rPr>
        <w:t>Figure</w:t>
      </w:r>
      <w:r w:rsidRPr="009C2501">
        <w:rPr>
          <w:rFonts w:ascii="Arial" w:hAnsi="Arial" w:cs="Arial"/>
          <w:sz w:val="20"/>
          <w:szCs w:val="20"/>
        </w:rPr>
        <w:tab/>
        <w:t>3.</w:t>
      </w:r>
      <w:r w:rsidR="00C72244">
        <w:rPr>
          <w:rFonts w:ascii="Arial" w:hAnsi="Arial" w:cs="Arial"/>
          <w:sz w:val="20"/>
          <w:szCs w:val="20"/>
        </w:rPr>
        <w:t>A.</w:t>
      </w:r>
      <w:r w:rsidRPr="009C2501">
        <w:rPr>
          <w:rFonts w:ascii="Arial" w:hAnsi="Arial" w:cs="Arial"/>
          <w:sz w:val="20"/>
          <w:szCs w:val="20"/>
        </w:rPr>
        <w:t>1</w:t>
      </w:r>
      <w:r w:rsidRPr="009C2501">
        <w:rPr>
          <w:rFonts w:ascii="Arial" w:hAnsi="Arial" w:cs="Arial"/>
          <w:sz w:val="20"/>
          <w:szCs w:val="20"/>
        </w:rPr>
        <w:tab/>
        <w:t>Student Affairs Organizational Chart*</w:t>
      </w:r>
    </w:p>
    <w:p w:rsidR="00327890"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66409F">
        <w:rPr>
          <w:rFonts w:ascii="Arial" w:hAnsi="Arial" w:cs="Arial"/>
          <w:sz w:val="20"/>
          <w:szCs w:val="20"/>
        </w:rPr>
        <w:tab/>
        <w:t xml:space="preserve">3.B.1 </w:t>
      </w:r>
      <w:r w:rsidR="0066409F">
        <w:rPr>
          <w:rFonts w:ascii="Arial" w:hAnsi="Arial" w:cs="Arial"/>
          <w:sz w:val="20"/>
          <w:szCs w:val="20"/>
        </w:rPr>
        <w:tab/>
      </w:r>
      <w:r w:rsidR="00327890">
        <w:rPr>
          <w:rFonts w:ascii="Arial" w:hAnsi="Arial" w:cs="Arial"/>
          <w:sz w:val="20"/>
          <w:szCs w:val="20"/>
        </w:rPr>
        <w:t>Foreign Student Enrollment</w:t>
      </w:r>
      <w:r w:rsidR="0066409F">
        <w:rPr>
          <w:rFonts w:ascii="Arial" w:hAnsi="Arial" w:cs="Arial"/>
          <w:sz w:val="20"/>
          <w:szCs w:val="20"/>
        </w:rPr>
        <w:t xml:space="preserve"> &amp; Country of Origin</w:t>
      </w:r>
    </w:p>
    <w:p w:rsidR="007D516A" w:rsidRDefault="007D516A"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Pr>
          <w:rFonts w:ascii="Arial" w:hAnsi="Arial" w:cs="Arial"/>
          <w:sz w:val="20"/>
          <w:szCs w:val="20"/>
        </w:rPr>
        <w:tab/>
        <w:t>3.B.2</w:t>
      </w:r>
      <w:r>
        <w:rPr>
          <w:rFonts w:ascii="Arial" w:hAnsi="Arial" w:cs="Arial"/>
          <w:sz w:val="20"/>
          <w:szCs w:val="20"/>
        </w:rPr>
        <w:tab/>
        <w:t>The campus is safe and secure for all students</w:t>
      </w:r>
    </w:p>
    <w:p w:rsidR="00C72244" w:rsidRDefault="00C72244"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Pr>
          <w:rFonts w:ascii="Arial" w:hAnsi="Arial" w:cs="Arial"/>
          <w:sz w:val="20"/>
          <w:szCs w:val="20"/>
        </w:rPr>
        <w:tab/>
        <w:t>3.B.</w:t>
      </w:r>
      <w:r w:rsidR="007D516A">
        <w:rPr>
          <w:rFonts w:ascii="Arial" w:hAnsi="Arial" w:cs="Arial"/>
          <w:sz w:val="20"/>
          <w:szCs w:val="20"/>
        </w:rPr>
        <w:t>3</w:t>
      </w:r>
      <w:r>
        <w:rPr>
          <w:rFonts w:ascii="Arial" w:hAnsi="Arial" w:cs="Arial"/>
          <w:sz w:val="20"/>
          <w:szCs w:val="20"/>
        </w:rPr>
        <w:tab/>
        <w:t>The Student Handbook provides helpful information about campus life</w:t>
      </w:r>
    </w:p>
    <w:p w:rsidR="00327890"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C72244">
        <w:rPr>
          <w:rFonts w:ascii="Arial" w:hAnsi="Arial" w:cs="Arial"/>
          <w:sz w:val="20"/>
          <w:szCs w:val="20"/>
        </w:rPr>
        <w:t xml:space="preserve"> </w:t>
      </w:r>
      <w:r w:rsidR="00C72244">
        <w:rPr>
          <w:rFonts w:ascii="Arial" w:hAnsi="Arial" w:cs="Arial"/>
          <w:sz w:val="20"/>
          <w:szCs w:val="20"/>
        </w:rPr>
        <w:tab/>
        <w:t>3.B.4</w:t>
      </w:r>
      <w:r w:rsidR="00327890">
        <w:rPr>
          <w:rFonts w:ascii="Arial" w:hAnsi="Arial" w:cs="Arial"/>
          <w:sz w:val="20"/>
          <w:szCs w:val="20"/>
        </w:rPr>
        <w:tab/>
        <w:t>Student Satisfaction Compared to Prior Years (North Campus)</w:t>
      </w:r>
    </w:p>
    <w:p w:rsidR="00327890"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C72244">
        <w:rPr>
          <w:rFonts w:ascii="Arial" w:hAnsi="Arial" w:cs="Arial"/>
          <w:sz w:val="20"/>
          <w:szCs w:val="20"/>
        </w:rPr>
        <w:t xml:space="preserve"> </w:t>
      </w:r>
      <w:r w:rsidR="00C72244">
        <w:rPr>
          <w:rFonts w:ascii="Arial" w:hAnsi="Arial" w:cs="Arial"/>
          <w:sz w:val="20"/>
          <w:szCs w:val="20"/>
        </w:rPr>
        <w:tab/>
        <w:t>3.B.5</w:t>
      </w:r>
      <w:r w:rsidR="00327890">
        <w:rPr>
          <w:rFonts w:ascii="Arial" w:hAnsi="Arial" w:cs="Arial"/>
          <w:sz w:val="20"/>
          <w:szCs w:val="20"/>
        </w:rPr>
        <w:tab/>
        <w:t>Student Satisfaction Compared to Prior Years (south Campus)</w:t>
      </w:r>
    </w:p>
    <w:p w:rsidR="007D516A" w:rsidRPr="007D516A" w:rsidRDefault="007D516A" w:rsidP="001B4D6A">
      <w:pPr>
        <w:pStyle w:val="PlainText"/>
        <w:rPr>
          <w:rFonts w:cs="Arial"/>
          <w:color w:val="auto"/>
          <w:szCs w:val="20"/>
        </w:rPr>
      </w:pPr>
      <w:r w:rsidRPr="007D516A">
        <w:rPr>
          <w:rFonts w:cs="Arial"/>
          <w:color w:val="auto"/>
          <w:szCs w:val="20"/>
        </w:rPr>
        <w:t xml:space="preserve">Figure </w:t>
      </w:r>
      <w:r>
        <w:rPr>
          <w:rFonts w:cs="Arial"/>
          <w:color w:val="auto"/>
          <w:szCs w:val="20"/>
        </w:rPr>
        <w:tab/>
      </w:r>
      <w:r w:rsidRPr="007D516A">
        <w:rPr>
          <w:rFonts w:cs="Arial"/>
          <w:color w:val="auto"/>
          <w:szCs w:val="20"/>
        </w:rPr>
        <w:t>3.B.6</w:t>
      </w:r>
      <w:r>
        <w:rPr>
          <w:rFonts w:cs="Arial"/>
          <w:color w:val="auto"/>
          <w:szCs w:val="20"/>
        </w:rPr>
        <w:tab/>
      </w:r>
      <w:r w:rsidRPr="007D516A">
        <w:rPr>
          <w:rFonts w:cs="Arial"/>
          <w:color w:val="auto"/>
          <w:szCs w:val="20"/>
        </w:rPr>
        <w:t>One-Stop-Shop</w:t>
      </w:r>
    </w:p>
    <w:p w:rsidR="00C72244" w:rsidRDefault="00C72244" w:rsidP="001B4D6A">
      <w:pPr>
        <w:rPr>
          <w:rFonts w:ascii="Arial" w:hAnsi="Arial" w:cs="Arial"/>
          <w:sz w:val="20"/>
          <w:szCs w:val="20"/>
        </w:rPr>
      </w:pPr>
      <w:r>
        <w:rPr>
          <w:rFonts w:ascii="Arial" w:hAnsi="Arial" w:cs="Arial"/>
          <w:sz w:val="20"/>
          <w:szCs w:val="20"/>
        </w:rPr>
        <w:t xml:space="preserve">Figure </w:t>
      </w:r>
      <w:r>
        <w:rPr>
          <w:rFonts w:ascii="Arial" w:hAnsi="Arial" w:cs="Arial"/>
          <w:sz w:val="20"/>
          <w:szCs w:val="20"/>
        </w:rPr>
        <w:tab/>
        <w:t>3.D.1</w:t>
      </w:r>
      <w:r>
        <w:rPr>
          <w:rFonts w:ascii="Arial" w:hAnsi="Arial" w:cs="Arial"/>
          <w:sz w:val="20"/>
          <w:szCs w:val="20"/>
        </w:rPr>
        <w:tab/>
        <w:t>Financial Aid Disbursement - Five Year Average</w:t>
      </w:r>
    </w:p>
    <w:p w:rsidR="00327890" w:rsidRDefault="004C471D" w:rsidP="00D56B1A">
      <w:pPr>
        <w:rPr>
          <w:rFonts w:ascii="Arial" w:hAnsi="Arial" w:cs="Arial"/>
          <w:sz w:val="20"/>
          <w:szCs w:val="20"/>
        </w:rPr>
      </w:pPr>
      <w:r w:rsidRPr="009C2501">
        <w:rPr>
          <w:rFonts w:ascii="Arial" w:hAnsi="Arial" w:cs="Arial"/>
          <w:sz w:val="20"/>
          <w:szCs w:val="20"/>
        </w:rPr>
        <w:lastRenderedPageBreak/>
        <w:t>Figure</w:t>
      </w:r>
      <w:r>
        <w:rPr>
          <w:rFonts w:ascii="Arial" w:hAnsi="Arial" w:cs="Arial"/>
          <w:sz w:val="20"/>
          <w:szCs w:val="20"/>
        </w:rPr>
        <w:t xml:space="preserve"> </w:t>
      </w:r>
      <w:r w:rsidR="00C72244">
        <w:rPr>
          <w:rFonts w:ascii="Arial" w:hAnsi="Arial" w:cs="Arial"/>
          <w:sz w:val="20"/>
          <w:szCs w:val="20"/>
        </w:rPr>
        <w:t xml:space="preserve"> </w:t>
      </w:r>
      <w:r w:rsidR="00C72244">
        <w:rPr>
          <w:rFonts w:ascii="Arial" w:hAnsi="Arial" w:cs="Arial"/>
          <w:sz w:val="20"/>
          <w:szCs w:val="20"/>
        </w:rPr>
        <w:tab/>
        <w:t>3.D.2</w:t>
      </w:r>
      <w:r w:rsidR="00327890">
        <w:rPr>
          <w:rFonts w:ascii="Arial" w:hAnsi="Arial" w:cs="Arial"/>
          <w:sz w:val="20"/>
          <w:szCs w:val="20"/>
        </w:rPr>
        <w:tab/>
        <w:t>Financial awards are announced to students in a timely</w:t>
      </w:r>
      <w:r w:rsidR="007C2345">
        <w:rPr>
          <w:rFonts w:ascii="Arial" w:hAnsi="Arial" w:cs="Arial"/>
          <w:sz w:val="20"/>
          <w:szCs w:val="20"/>
        </w:rPr>
        <w:t xml:space="preserve"> manner to be helpful in college</w:t>
      </w:r>
      <w:r w:rsidR="00327890">
        <w:rPr>
          <w:rFonts w:ascii="Arial" w:hAnsi="Arial" w:cs="Arial"/>
          <w:sz w:val="20"/>
          <w:szCs w:val="20"/>
        </w:rPr>
        <w:t xml:space="preserve"> </w:t>
      </w:r>
      <w:r w:rsidR="007C2345">
        <w:rPr>
          <w:rFonts w:ascii="Arial" w:hAnsi="Arial" w:cs="Arial"/>
          <w:sz w:val="20"/>
          <w:szCs w:val="20"/>
        </w:rPr>
        <w:t xml:space="preserve">         </w:t>
      </w:r>
      <w:r w:rsidR="00327890">
        <w:rPr>
          <w:rFonts w:ascii="Arial" w:hAnsi="Arial" w:cs="Arial"/>
          <w:sz w:val="20"/>
          <w:szCs w:val="20"/>
        </w:rPr>
        <w:t>planning</w:t>
      </w:r>
    </w:p>
    <w:p w:rsidR="006C5871" w:rsidRDefault="004C471D" w:rsidP="001B4D6A">
      <w:pPr>
        <w:rPr>
          <w:rFonts w:ascii="Arial" w:hAnsi="Arial" w:cs="Arial"/>
          <w:sz w:val="20"/>
          <w:szCs w:val="20"/>
        </w:rPr>
      </w:pPr>
      <w:r w:rsidRPr="009C2501">
        <w:rPr>
          <w:rFonts w:ascii="Arial" w:hAnsi="Arial" w:cs="Arial"/>
          <w:sz w:val="20"/>
          <w:szCs w:val="20"/>
        </w:rPr>
        <w:t>Figure</w:t>
      </w:r>
      <w:r w:rsidRPr="006C5871">
        <w:rPr>
          <w:rFonts w:ascii="Arial" w:hAnsi="Arial" w:cs="Arial"/>
          <w:sz w:val="20"/>
          <w:szCs w:val="20"/>
        </w:rPr>
        <w:t xml:space="preserve"> </w:t>
      </w:r>
      <w:r w:rsidR="00190088">
        <w:rPr>
          <w:rFonts w:ascii="Arial" w:hAnsi="Arial" w:cs="Arial"/>
          <w:sz w:val="20"/>
          <w:szCs w:val="20"/>
        </w:rPr>
        <w:tab/>
        <w:t>3.D.3</w:t>
      </w:r>
      <w:r w:rsidR="006C5871" w:rsidRPr="006C5871">
        <w:rPr>
          <w:rFonts w:ascii="Arial" w:hAnsi="Arial" w:cs="Arial"/>
          <w:sz w:val="20"/>
          <w:szCs w:val="20"/>
        </w:rPr>
        <w:tab/>
        <w:t>Financial Aid Default Rates</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190088">
        <w:rPr>
          <w:rFonts w:ascii="Arial" w:hAnsi="Arial" w:cs="Arial"/>
          <w:sz w:val="20"/>
          <w:szCs w:val="20"/>
        </w:rPr>
        <w:tab/>
        <w:t>3.D.4</w:t>
      </w:r>
      <w:r w:rsidR="00412752">
        <w:rPr>
          <w:rFonts w:ascii="Arial" w:hAnsi="Arial" w:cs="Arial"/>
          <w:sz w:val="20"/>
          <w:szCs w:val="20"/>
        </w:rPr>
        <w:tab/>
        <w:t>New Student Orientation services help students adjust to college</w:t>
      </w:r>
    </w:p>
    <w:p w:rsidR="00412752" w:rsidRDefault="004C471D" w:rsidP="001B4D6A">
      <w:pPr>
        <w:rPr>
          <w:rFonts w:ascii="Arial" w:hAnsi="Arial" w:cs="Arial"/>
          <w:sz w:val="20"/>
          <w:szCs w:val="20"/>
        </w:rPr>
      </w:pPr>
      <w:r w:rsidRPr="009C2501">
        <w:rPr>
          <w:rFonts w:ascii="Arial" w:hAnsi="Arial" w:cs="Arial"/>
          <w:sz w:val="20"/>
          <w:szCs w:val="20"/>
        </w:rPr>
        <w:t>Figure</w:t>
      </w:r>
      <w:r w:rsidR="00190088">
        <w:rPr>
          <w:rFonts w:ascii="Arial" w:hAnsi="Arial" w:cs="Arial"/>
          <w:sz w:val="20"/>
          <w:szCs w:val="20"/>
        </w:rPr>
        <w:tab/>
        <w:t>3.D.5</w:t>
      </w:r>
      <w:r w:rsidR="00412752">
        <w:rPr>
          <w:rFonts w:ascii="Arial" w:hAnsi="Arial" w:cs="Arial"/>
          <w:sz w:val="20"/>
          <w:szCs w:val="20"/>
        </w:rPr>
        <w:tab/>
        <w:t>Career Fair Employer and Student Participation</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190088">
        <w:rPr>
          <w:rFonts w:ascii="Arial" w:hAnsi="Arial" w:cs="Arial"/>
          <w:sz w:val="20"/>
          <w:szCs w:val="20"/>
        </w:rPr>
        <w:tab/>
        <w:t>3.D.6</w:t>
      </w:r>
      <w:r w:rsidR="00412752">
        <w:rPr>
          <w:rFonts w:ascii="Arial" w:hAnsi="Arial" w:cs="Arial"/>
          <w:sz w:val="20"/>
          <w:szCs w:val="20"/>
        </w:rPr>
        <w:tab/>
        <w:t>DIGGERecruting</w:t>
      </w:r>
    </w:p>
    <w:p w:rsidR="00412752" w:rsidRDefault="004C471D" w:rsidP="001B4D6A">
      <w:pPr>
        <w:rPr>
          <w:rFonts w:ascii="Arial" w:hAnsi="Arial" w:cs="Arial"/>
          <w:sz w:val="20"/>
          <w:szCs w:val="20"/>
        </w:rPr>
      </w:pPr>
      <w:r w:rsidRPr="009C2501">
        <w:rPr>
          <w:rFonts w:ascii="Arial" w:hAnsi="Arial" w:cs="Arial"/>
          <w:sz w:val="20"/>
          <w:szCs w:val="20"/>
        </w:rPr>
        <w:t xml:space="preserve">Figure </w:t>
      </w:r>
      <w:r>
        <w:rPr>
          <w:rFonts w:ascii="Arial" w:hAnsi="Arial" w:cs="Arial"/>
          <w:sz w:val="20"/>
          <w:szCs w:val="20"/>
        </w:rPr>
        <w:t xml:space="preserve"> </w:t>
      </w:r>
      <w:r w:rsidR="00190088">
        <w:rPr>
          <w:rFonts w:ascii="Arial" w:hAnsi="Arial" w:cs="Arial"/>
          <w:sz w:val="20"/>
          <w:szCs w:val="20"/>
        </w:rPr>
        <w:tab/>
        <w:t>3.D.7</w:t>
      </w:r>
      <w:r w:rsidR="00412752">
        <w:rPr>
          <w:rFonts w:ascii="Arial" w:hAnsi="Arial" w:cs="Arial"/>
          <w:sz w:val="20"/>
          <w:szCs w:val="20"/>
        </w:rPr>
        <w:tab/>
        <w:t>Internship Program</w:t>
      </w:r>
    </w:p>
    <w:p w:rsidR="00412752" w:rsidRDefault="004C471D" w:rsidP="001B4D6A">
      <w:pPr>
        <w:rPr>
          <w:rFonts w:ascii="Arial" w:hAnsi="Arial" w:cs="Arial"/>
          <w:sz w:val="20"/>
          <w:szCs w:val="20"/>
        </w:rPr>
      </w:pPr>
      <w:r w:rsidRPr="009C2501">
        <w:rPr>
          <w:rFonts w:ascii="Arial" w:hAnsi="Arial" w:cs="Arial"/>
          <w:sz w:val="20"/>
          <w:szCs w:val="20"/>
        </w:rPr>
        <w:t>Figure</w:t>
      </w:r>
      <w:r w:rsidRPr="00C31353">
        <w:rPr>
          <w:rFonts w:ascii="Arial" w:hAnsi="Arial" w:cs="Arial"/>
          <w:sz w:val="20"/>
          <w:szCs w:val="20"/>
        </w:rPr>
        <w:t xml:space="preserve"> </w:t>
      </w:r>
      <w:r w:rsidR="00190088">
        <w:rPr>
          <w:rFonts w:ascii="Arial" w:hAnsi="Arial" w:cs="Arial"/>
          <w:sz w:val="20"/>
          <w:szCs w:val="20"/>
        </w:rPr>
        <w:tab/>
        <w:t>3.D.8</w:t>
      </w:r>
      <w:r w:rsidR="00412752" w:rsidRPr="00C31353">
        <w:rPr>
          <w:rFonts w:ascii="Arial" w:hAnsi="Arial" w:cs="Arial"/>
          <w:sz w:val="20"/>
          <w:szCs w:val="20"/>
        </w:rPr>
        <w:tab/>
      </w:r>
      <w:r w:rsidR="00C31353" w:rsidRPr="00C31353">
        <w:rPr>
          <w:rFonts w:ascii="Arial" w:hAnsi="Arial" w:cs="Arial"/>
          <w:sz w:val="20"/>
          <w:szCs w:val="20"/>
        </w:rPr>
        <w:t>2008 Graduate Survey</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190088">
        <w:rPr>
          <w:rFonts w:ascii="Arial" w:hAnsi="Arial" w:cs="Arial"/>
          <w:sz w:val="20"/>
          <w:szCs w:val="20"/>
        </w:rPr>
        <w:tab/>
        <w:t>3.D.9</w:t>
      </w:r>
      <w:r w:rsidR="00425335">
        <w:rPr>
          <w:rFonts w:ascii="Arial" w:hAnsi="Arial" w:cs="Arial"/>
          <w:sz w:val="20"/>
          <w:szCs w:val="20"/>
        </w:rPr>
        <w:tab/>
        <w:t>S</w:t>
      </w:r>
      <w:r w:rsidR="00412752">
        <w:rPr>
          <w:rFonts w:ascii="Arial" w:hAnsi="Arial" w:cs="Arial"/>
          <w:sz w:val="20"/>
          <w:szCs w:val="20"/>
        </w:rPr>
        <w:t>taff in the health services area are competent</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6C5871">
        <w:rPr>
          <w:rFonts w:ascii="Arial" w:hAnsi="Arial" w:cs="Arial"/>
          <w:sz w:val="20"/>
          <w:szCs w:val="20"/>
        </w:rPr>
        <w:t xml:space="preserve"> </w:t>
      </w:r>
      <w:r w:rsidR="006C5871">
        <w:rPr>
          <w:rFonts w:ascii="Arial" w:hAnsi="Arial" w:cs="Arial"/>
          <w:sz w:val="20"/>
          <w:szCs w:val="20"/>
        </w:rPr>
        <w:tab/>
        <w:t>3.D.10</w:t>
      </w:r>
      <w:r w:rsidR="00412752">
        <w:rPr>
          <w:rFonts w:ascii="Arial" w:hAnsi="Arial" w:cs="Arial"/>
          <w:sz w:val="20"/>
          <w:szCs w:val="20"/>
        </w:rPr>
        <w:tab/>
        <w:t xml:space="preserve">Residence Hall Occupancy </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6C5871">
        <w:rPr>
          <w:rFonts w:ascii="Arial" w:hAnsi="Arial" w:cs="Arial"/>
          <w:sz w:val="20"/>
          <w:szCs w:val="20"/>
        </w:rPr>
        <w:tab/>
        <w:t>3.D.11</w:t>
      </w:r>
      <w:r w:rsidR="00706BE6">
        <w:rPr>
          <w:rFonts w:ascii="Arial" w:hAnsi="Arial" w:cs="Arial"/>
          <w:sz w:val="20"/>
          <w:szCs w:val="20"/>
        </w:rPr>
        <w:tab/>
      </w:r>
      <w:r w:rsidR="000904B1">
        <w:rPr>
          <w:rFonts w:ascii="Arial" w:hAnsi="Arial" w:cs="Arial"/>
          <w:sz w:val="20"/>
          <w:szCs w:val="20"/>
        </w:rPr>
        <w:t>A</w:t>
      </w:r>
      <w:r w:rsidR="00706BE6">
        <w:rPr>
          <w:rFonts w:ascii="Arial" w:hAnsi="Arial" w:cs="Arial"/>
          <w:sz w:val="20"/>
          <w:szCs w:val="20"/>
        </w:rPr>
        <w:t>dequate selection of food available in the cafeteria</w:t>
      </w:r>
    </w:p>
    <w:p w:rsidR="00706BE6" w:rsidRDefault="004C471D" w:rsidP="001B4D6A">
      <w:pPr>
        <w:rPr>
          <w:rFonts w:ascii="Arial" w:hAnsi="Arial" w:cs="Arial"/>
          <w:sz w:val="20"/>
          <w:szCs w:val="20"/>
        </w:rPr>
      </w:pPr>
      <w:r w:rsidRPr="009C2501">
        <w:rPr>
          <w:rFonts w:ascii="Arial" w:hAnsi="Arial" w:cs="Arial"/>
          <w:sz w:val="20"/>
          <w:szCs w:val="20"/>
        </w:rPr>
        <w:t>Figure</w:t>
      </w:r>
      <w:r w:rsidR="006C5871">
        <w:rPr>
          <w:rFonts w:ascii="Arial" w:hAnsi="Arial" w:cs="Arial"/>
          <w:sz w:val="20"/>
          <w:szCs w:val="20"/>
        </w:rPr>
        <w:tab/>
        <w:t>3.D.12</w:t>
      </w:r>
      <w:r w:rsidR="00706BE6">
        <w:rPr>
          <w:rFonts w:ascii="Arial" w:hAnsi="Arial" w:cs="Arial"/>
          <w:sz w:val="20"/>
          <w:szCs w:val="20"/>
        </w:rPr>
        <w:tab/>
        <w:t>Satisfaction with the variety of Intramural activities offered</w:t>
      </w:r>
    </w:p>
    <w:p w:rsidR="00706BE6"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6C5871">
        <w:rPr>
          <w:rFonts w:ascii="Arial" w:hAnsi="Arial" w:cs="Arial"/>
          <w:sz w:val="20"/>
          <w:szCs w:val="20"/>
        </w:rPr>
        <w:tab/>
        <w:t>3.D.13</w:t>
      </w:r>
      <w:r w:rsidR="00706BE6">
        <w:rPr>
          <w:rFonts w:ascii="Arial" w:hAnsi="Arial" w:cs="Arial"/>
          <w:sz w:val="20"/>
          <w:szCs w:val="20"/>
        </w:rPr>
        <w:tab/>
        <w:t>Satisfaction with Bookstore staff</w:t>
      </w:r>
    </w:p>
    <w:p w:rsidR="00190088" w:rsidRDefault="00190088" w:rsidP="001B4D6A">
      <w:pPr>
        <w:rPr>
          <w:rFonts w:ascii="Arial" w:hAnsi="Arial" w:cs="Arial"/>
          <w:sz w:val="20"/>
          <w:szCs w:val="20"/>
        </w:rPr>
      </w:pPr>
      <w:r>
        <w:rPr>
          <w:rFonts w:ascii="Arial" w:hAnsi="Arial" w:cs="Arial"/>
          <w:sz w:val="20"/>
          <w:szCs w:val="20"/>
        </w:rPr>
        <w:t>Figure</w:t>
      </w:r>
      <w:r>
        <w:rPr>
          <w:rFonts w:ascii="Arial" w:hAnsi="Arial" w:cs="Arial"/>
          <w:sz w:val="20"/>
          <w:szCs w:val="20"/>
        </w:rPr>
        <w:tab/>
        <w:t>3.E.1</w:t>
      </w:r>
      <w:r>
        <w:rPr>
          <w:rFonts w:ascii="Arial" w:hAnsi="Arial" w:cs="Arial"/>
          <w:sz w:val="20"/>
          <w:szCs w:val="20"/>
        </w:rPr>
        <w:tab/>
        <w:t>Top Five Bachelor Degrees Earned by Athletes</w:t>
      </w:r>
    </w:p>
    <w:p w:rsidR="004C471D" w:rsidRDefault="004C471D" w:rsidP="001B4D6A">
      <w:pPr>
        <w:rPr>
          <w:rFonts w:ascii="Arial" w:hAnsi="Arial" w:cs="Arial"/>
          <w:sz w:val="20"/>
          <w:szCs w:val="20"/>
        </w:rPr>
      </w:pPr>
    </w:p>
    <w:p w:rsidR="004C471D" w:rsidRPr="009C2501" w:rsidRDefault="004C471D" w:rsidP="001B4D6A">
      <w:pPr>
        <w:rPr>
          <w:rFonts w:ascii="Arial" w:hAnsi="Arial" w:cs="Arial"/>
          <w:sz w:val="20"/>
          <w:szCs w:val="20"/>
        </w:rPr>
      </w:pPr>
      <w:r w:rsidRPr="009C2501">
        <w:rPr>
          <w:rFonts w:ascii="Arial" w:hAnsi="Arial" w:cs="Arial"/>
          <w:sz w:val="20"/>
          <w:szCs w:val="20"/>
        </w:rPr>
        <w:t>Table</w:t>
      </w:r>
      <w:r w:rsidRPr="009C2501">
        <w:rPr>
          <w:rFonts w:ascii="Arial" w:hAnsi="Arial" w:cs="Arial"/>
          <w:sz w:val="20"/>
          <w:szCs w:val="20"/>
        </w:rPr>
        <w:tab/>
        <w:t>3.</w:t>
      </w:r>
      <w:r>
        <w:rPr>
          <w:rFonts w:ascii="Arial" w:hAnsi="Arial" w:cs="Arial"/>
          <w:sz w:val="20"/>
          <w:szCs w:val="20"/>
        </w:rPr>
        <w:t>A.I</w:t>
      </w:r>
      <w:r w:rsidRPr="009C2501">
        <w:rPr>
          <w:rFonts w:ascii="Arial" w:hAnsi="Arial" w:cs="Arial"/>
          <w:sz w:val="20"/>
          <w:szCs w:val="20"/>
        </w:rPr>
        <w:tab/>
        <w:t>Student Affairs Staff Profile*</w:t>
      </w:r>
    </w:p>
    <w:p w:rsidR="004C471D" w:rsidRDefault="004C471D" w:rsidP="001B4D6A">
      <w:pPr>
        <w:rPr>
          <w:rFonts w:ascii="Arial" w:hAnsi="Arial" w:cs="Arial"/>
          <w:sz w:val="20"/>
          <w:szCs w:val="20"/>
        </w:rPr>
      </w:pPr>
      <w:r w:rsidRPr="009C2501">
        <w:rPr>
          <w:rFonts w:ascii="Arial" w:hAnsi="Arial" w:cs="Arial"/>
          <w:sz w:val="20"/>
          <w:szCs w:val="20"/>
        </w:rPr>
        <w:t xml:space="preserve">Table </w:t>
      </w:r>
      <w:r w:rsidRPr="009C2501">
        <w:rPr>
          <w:rFonts w:ascii="Arial" w:hAnsi="Arial" w:cs="Arial"/>
          <w:sz w:val="20"/>
          <w:szCs w:val="20"/>
        </w:rPr>
        <w:tab/>
        <w:t>3.</w:t>
      </w:r>
      <w:r>
        <w:rPr>
          <w:rFonts w:ascii="Arial" w:hAnsi="Arial" w:cs="Arial"/>
          <w:sz w:val="20"/>
          <w:szCs w:val="20"/>
        </w:rPr>
        <w:t>B.I</w:t>
      </w:r>
      <w:r w:rsidRPr="009C2501">
        <w:rPr>
          <w:rFonts w:ascii="Arial" w:hAnsi="Arial" w:cs="Arial"/>
          <w:sz w:val="20"/>
          <w:szCs w:val="20"/>
        </w:rPr>
        <w:tab/>
        <w:t>Enrollment Report*</w:t>
      </w:r>
    </w:p>
    <w:p w:rsidR="004C471D" w:rsidRPr="009C2501" w:rsidRDefault="004C471D" w:rsidP="001B4D6A">
      <w:pPr>
        <w:rPr>
          <w:rFonts w:ascii="Arial" w:hAnsi="Arial" w:cs="Arial"/>
          <w:sz w:val="20"/>
          <w:szCs w:val="20"/>
        </w:rPr>
      </w:pPr>
      <w:r w:rsidRPr="009C2501">
        <w:rPr>
          <w:rFonts w:ascii="Arial" w:hAnsi="Arial" w:cs="Arial"/>
          <w:sz w:val="20"/>
          <w:szCs w:val="20"/>
        </w:rPr>
        <w:t>Table</w:t>
      </w:r>
      <w:r w:rsidRPr="009C2501">
        <w:rPr>
          <w:rFonts w:ascii="Arial" w:hAnsi="Arial" w:cs="Arial"/>
          <w:sz w:val="20"/>
          <w:szCs w:val="20"/>
        </w:rPr>
        <w:tab/>
        <w:t>3.</w:t>
      </w:r>
      <w:r>
        <w:rPr>
          <w:rFonts w:ascii="Arial" w:hAnsi="Arial" w:cs="Arial"/>
          <w:sz w:val="20"/>
          <w:szCs w:val="20"/>
        </w:rPr>
        <w:t>D.I</w:t>
      </w:r>
      <w:r w:rsidRPr="009C2501">
        <w:rPr>
          <w:rFonts w:ascii="Arial" w:hAnsi="Arial" w:cs="Arial"/>
          <w:sz w:val="20"/>
          <w:szCs w:val="20"/>
        </w:rPr>
        <w:tab/>
        <w:t>Admissions Report*</w:t>
      </w:r>
    </w:p>
    <w:p w:rsidR="00190088" w:rsidRDefault="00190088" w:rsidP="001B4D6A">
      <w:pPr>
        <w:rPr>
          <w:rFonts w:ascii="Arial" w:hAnsi="Arial" w:cs="Arial"/>
          <w:sz w:val="20"/>
          <w:szCs w:val="20"/>
        </w:rPr>
      </w:pPr>
      <w:r>
        <w:rPr>
          <w:rFonts w:ascii="Arial" w:hAnsi="Arial" w:cs="Arial"/>
          <w:sz w:val="20"/>
          <w:szCs w:val="20"/>
        </w:rPr>
        <w:t>Table</w:t>
      </w:r>
      <w:r>
        <w:rPr>
          <w:rFonts w:ascii="Arial" w:hAnsi="Arial" w:cs="Arial"/>
          <w:sz w:val="20"/>
          <w:szCs w:val="20"/>
        </w:rPr>
        <w:tab/>
        <w:t>3.E.I</w:t>
      </w:r>
      <w:r>
        <w:rPr>
          <w:rFonts w:ascii="Arial" w:hAnsi="Arial" w:cs="Arial"/>
          <w:sz w:val="20"/>
          <w:szCs w:val="20"/>
        </w:rPr>
        <w:tab/>
        <w:t>Athletic Graduation Rates</w:t>
      </w:r>
    </w:p>
    <w:p w:rsidR="00190088" w:rsidRPr="009C2501" w:rsidRDefault="00190088" w:rsidP="001B4D6A">
      <w:pPr>
        <w:rPr>
          <w:rFonts w:ascii="Arial" w:hAnsi="Arial" w:cs="Arial"/>
          <w:sz w:val="20"/>
          <w:szCs w:val="20"/>
        </w:rPr>
      </w:pPr>
      <w:r>
        <w:rPr>
          <w:rFonts w:ascii="Arial" w:hAnsi="Arial" w:cs="Arial"/>
          <w:sz w:val="20"/>
          <w:szCs w:val="20"/>
        </w:rPr>
        <w:t>Table</w:t>
      </w:r>
      <w:r>
        <w:rPr>
          <w:rFonts w:ascii="Arial" w:hAnsi="Arial" w:cs="Arial"/>
          <w:sz w:val="20"/>
          <w:szCs w:val="20"/>
        </w:rPr>
        <w:tab/>
        <w:t>3.E.II</w:t>
      </w:r>
      <w:r>
        <w:rPr>
          <w:rFonts w:ascii="Arial" w:hAnsi="Arial" w:cs="Arial"/>
          <w:sz w:val="20"/>
          <w:szCs w:val="20"/>
        </w:rPr>
        <w:tab/>
        <w:t>Athletic Majors and Non-Athletic Majors</w:t>
      </w:r>
    </w:p>
    <w:p w:rsidR="00190088" w:rsidRPr="009C2501" w:rsidRDefault="00190088" w:rsidP="001B4D6A">
      <w:pPr>
        <w:rPr>
          <w:rFonts w:ascii="Arial" w:hAnsi="Arial" w:cs="Arial"/>
          <w:sz w:val="20"/>
          <w:szCs w:val="20"/>
        </w:rPr>
      </w:pPr>
    </w:p>
    <w:p w:rsidR="006A0BC8" w:rsidRDefault="009C2501" w:rsidP="001B4D6A">
      <w:pPr>
        <w:rPr>
          <w:rFonts w:ascii="Arial" w:hAnsi="Arial" w:cs="Arial"/>
          <w:sz w:val="20"/>
          <w:szCs w:val="20"/>
        </w:rPr>
      </w:pPr>
      <w:r w:rsidRPr="009C2501">
        <w:rPr>
          <w:rFonts w:ascii="Arial" w:hAnsi="Arial" w:cs="Arial"/>
          <w:sz w:val="20"/>
          <w:szCs w:val="20"/>
        </w:rPr>
        <w:t>*Required Documentation &amp; Exhibits</w:t>
      </w:r>
    </w:p>
    <w:p w:rsidR="009C2501" w:rsidRDefault="00575E50" w:rsidP="001B4D6A">
      <w:pPr>
        <w:rPr>
          <w:rFonts w:ascii="Arial" w:hAnsi="Arial" w:cs="Arial"/>
          <w:sz w:val="20"/>
          <w:szCs w:val="20"/>
        </w:rPr>
      </w:pPr>
      <w:r>
        <w:rPr>
          <w:rFonts w:ascii="Arial" w:hAnsi="Arial" w:cs="Arial"/>
          <w:sz w:val="20"/>
          <w:szCs w:val="20"/>
        </w:rPr>
        <w:t xml:space="preserve">** Suggested </w:t>
      </w:r>
    </w:p>
    <w:p w:rsidR="009C2501" w:rsidRDefault="009C2501" w:rsidP="001B4D6A">
      <w:pPr>
        <w:jc w:val="center"/>
        <w:rPr>
          <w:rFonts w:ascii="Arial" w:hAnsi="Arial" w:cs="Arial"/>
          <w:b/>
          <w:sz w:val="22"/>
          <w:szCs w:val="22"/>
        </w:rPr>
      </w:pPr>
      <w:bookmarkStart w:id="1" w:name="Enrollment_Services_Chart"/>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bookmarkEnd w:id="1"/>
    <w:p w:rsidR="00F564D6" w:rsidRDefault="00F564D6" w:rsidP="001B4D6A">
      <w:pPr>
        <w:jc w:val="center"/>
        <w:rPr>
          <w:rFonts w:ascii="Arial" w:hAnsi="Arial" w:cs="Arial"/>
          <w:b/>
          <w:sz w:val="22"/>
          <w:szCs w:val="22"/>
        </w:rPr>
      </w:pPr>
    </w:p>
    <w:sectPr w:rsidR="00F564D6" w:rsidSect="00B3315C">
      <w:type w:val="continuous"/>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593" w:rsidRDefault="00E55593" w:rsidP="0072043B">
      <w:r>
        <w:separator/>
      </w:r>
    </w:p>
  </w:endnote>
  <w:endnote w:type="continuationSeparator" w:id="0">
    <w:p w:rsidR="00E55593" w:rsidRDefault="00E55593" w:rsidP="007204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Tunga">
    <w:panose1 w:val="00000400000000000000"/>
    <w:charset w:val="00"/>
    <w:family w:val="auto"/>
    <w:pitch w:val="variable"/>
    <w:sig w:usb0="004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2704"/>
      <w:docPartObj>
        <w:docPartGallery w:val="Page Numbers (Bottom of Page)"/>
        <w:docPartUnique/>
      </w:docPartObj>
    </w:sdtPr>
    <w:sdtContent>
      <w:p w:rsidR="007E1E49" w:rsidRDefault="007E1E49">
        <w:pPr>
          <w:pStyle w:val="Footer"/>
          <w:jc w:val="center"/>
        </w:pPr>
      </w:p>
      <w:p w:rsidR="007E1E49" w:rsidRDefault="00E21B15">
        <w:pPr>
          <w:pStyle w:val="Footer"/>
          <w:jc w:val="center"/>
        </w:pPr>
        <w:fldSimple w:instr=" PAGE   \* MERGEFORMAT ">
          <w:r w:rsidR="002F7961">
            <w:rPr>
              <w:noProof/>
            </w:rPr>
            <w:t>3</w:t>
          </w:r>
        </w:fldSimple>
      </w:p>
    </w:sdtContent>
  </w:sdt>
  <w:p w:rsidR="007E1E49" w:rsidRDefault="007E1E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5204"/>
      <w:docPartObj>
        <w:docPartGallery w:val="Page Numbers (Bottom of Page)"/>
        <w:docPartUnique/>
      </w:docPartObj>
    </w:sdtPr>
    <w:sdtContent>
      <w:p w:rsidR="007E1E49" w:rsidRDefault="007E1E49">
        <w:pPr>
          <w:pStyle w:val="Footer"/>
          <w:jc w:val="center"/>
        </w:pPr>
      </w:p>
      <w:p w:rsidR="007E1E49" w:rsidRDefault="00E21B15">
        <w:pPr>
          <w:pStyle w:val="Footer"/>
          <w:jc w:val="center"/>
        </w:pPr>
        <w:fldSimple w:instr=" PAGE   \* MERGEFORMAT ">
          <w:r w:rsidR="002F7961">
            <w:rPr>
              <w:noProof/>
            </w:rPr>
            <w:t>47</w:t>
          </w:r>
        </w:fldSimple>
      </w:p>
    </w:sdtContent>
  </w:sdt>
  <w:p w:rsidR="007E1E49" w:rsidRDefault="007E1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593" w:rsidRDefault="00E55593" w:rsidP="0072043B">
      <w:r>
        <w:separator/>
      </w:r>
    </w:p>
  </w:footnote>
  <w:footnote w:type="continuationSeparator" w:id="0">
    <w:p w:rsidR="00E55593" w:rsidRDefault="00E55593" w:rsidP="007204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2446"/>
    <w:multiLevelType w:val="hybridMultilevel"/>
    <w:tmpl w:val="962E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363B1"/>
    <w:multiLevelType w:val="hybridMultilevel"/>
    <w:tmpl w:val="8D12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B4860"/>
    <w:multiLevelType w:val="hybridMultilevel"/>
    <w:tmpl w:val="B3BCC2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5836DCB"/>
    <w:multiLevelType w:val="hybridMultilevel"/>
    <w:tmpl w:val="CAD2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5225E"/>
    <w:multiLevelType w:val="hybridMultilevel"/>
    <w:tmpl w:val="F1285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0C51C6"/>
    <w:multiLevelType w:val="hybridMultilevel"/>
    <w:tmpl w:val="D19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F05B7"/>
    <w:multiLevelType w:val="hybridMultilevel"/>
    <w:tmpl w:val="B8AC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77931"/>
    <w:multiLevelType w:val="hybridMultilevel"/>
    <w:tmpl w:val="4D3A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13D02"/>
    <w:multiLevelType w:val="hybridMultilevel"/>
    <w:tmpl w:val="8FF2B52E"/>
    <w:lvl w:ilvl="0" w:tplc="226CF0C0">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B2D5F03"/>
    <w:multiLevelType w:val="hybridMultilevel"/>
    <w:tmpl w:val="6C08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02E9B"/>
    <w:multiLevelType w:val="hybridMultilevel"/>
    <w:tmpl w:val="F1285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F2B0E"/>
    <w:multiLevelType w:val="hybridMultilevel"/>
    <w:tmpl w:val="41E2DE3E"/>
    <w:lvl w:ilvl="0" w:tplc="7142660E">
      <w:start w:val="1"/>
      <w:numFmt w:val="bullet"/>
      <w:lvlText w:val=""/>
      <w:lvlJc w:val="left"/>
      <w:pPr>
        <w:ind w:left="720" w:hanging="360"/>
      </w:pPr>
      <w:rPr>
        <w:rFonts w:ascii="Symbol" w:hAnsi="Symbol"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A4F30"/>
    <w:multiLevelType w:val="singleLevel"/>
    <w:tmpl w:val="208C0DFC"/>
    <w:lvl w:ilvl="0">
      <w:start w:val="1"/>
      <w:numFmt w:val="decimal"/>
      <w:lvlText w:val="%1."/>
      <w:lvlJc w:val="left"/>
      <w:pPr>
        <w:tabs>
          <w:tab w:val="num" w:pos="450"/>
        </w:tabs>
        <w:ind w:left="450" w:hanging="360"/>
      </w:pPr>
      <w:rPr>
        <w:rFonts w:ascii="Arial" w:hAnsi="Arial" w:hint="default"/>
        <w:b w:val="0"/>
        <w:i w:val="0"/>
        <w:sz w:val="20"/>
      </w:rPr>
    </w:lvl>
  </w:abstractNum>
  <w:abstractNum w:abstractNumId="13">
    <w:nsid w:val="47C102C8"/>
    <w:multiLevelType w:val="hybridMultilevel"/>
    <w:tmpl w:val="5A583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B05C22"/>
    <w:multiLevelType w:val="hybridMultilevel"/>
    <w:tmpl w:val="DFB846C8"/>
    <w:lvl w:ilvl="0" w:tplc="1252308C">
      <w:start w:val="1"/>
      <w:numFmt w:val="lowerLetter"/>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08463E"/>
    <w:multiLevelType w:val="hybridMultilevel"/>
    <w:tmpl w:val="187A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4460F0"/>
    <w:multiLevelType w:val="hybridMultilevel"/>
    <w:tmpl w:val="174038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A4B6057"/>
    <w:multiLevelType w:val="hybridMultilevel"/>
    <w:tmpl w:val="4A3E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C83239"/>
    <w:multiLevelType w:val="multilevel"/>
    <w:tmpl w:val="B9EE8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D417C9E"/>
    <w:multiLevelType w:val="hybridMultilevel"/>
    <w:tmpl w:val="20D2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150E07"/>
    <w:multiLevelType w:val="hybridMultilevel"/>
    <w:tmpl w:val="C328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BA63E7"/>
    <w:multiLevelType w:val="hybridMultilevel"/>
    <w:tmpl w:val="E6C834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nsid w:val="53E374B3"/>
    <w:multiLevelType w:val="hybridMultilevel"/>
    <w:tmpl w:val="7EC8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17A8E"/>
    <w:multiLevelType w:val="hybridMultilevel"/>
    <w:tmpl w:val="CFC0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AD1E74"/>
    <w:multiLevelType w:val="hybridMultilevel"/>
    <w:tmpl w:val="EC00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5B0697"/>
    <w:multiLevelType w:val="hybridMultilevel"/>
    <w:tmpl w:val="2CD09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00A2A19"/>
    <w:multiLevelType w:val="singleLevel"/>
    <w:tmpl w:val="777E7DC8"/>
    <w:lvl w:ilvl="0">
      <w:start w:val="1"/>
      <w:numFmt w:val="decimal"/>
      <w:lvlText w:val="%1."/>
      <w:lvlJc w:val="left"/>
      <w:pPr>
        <w:tabs>
          <w:tab w:val="num" w:pos="720"/>
        </w:tabs>
        <w:ind w:left="720" w:hanging="360"/>
      </w:pPr>
      <w:rPr>
        <w:rFonts w:hint="default"/>
      </w:rPr>
    </w:lvl>
  </w:abstractNum>
  <w:abstractNum w:abstractNumId="27">
    <w:nsid w:val="6B887C27"/>
    <w:multiLevelType w:val="hybridMultilevel"/>
    <w:tmpl w:val="836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EB29DD"/>
    <w:multiLevelType w:val="hybridMultilevel"/>
    <w:tmpl w:val="72E6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E26757"/>
    <w:multiLevelType w:val="hybridMultilevel"/>
    <w:tmpl w:val="0CA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034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51037ED"/>
    <w:multiLevelType w:val="hybridMultilevel"/>
    <w:tmpl w:val="8788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13A5"/>
    <w:multiLevelType w:val="hybridMultilevel"/>
    <w:tmpl w:val="9038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861E88"/>
    <w:multiLevelType w:val="singleLevel"/>
    <w:tmpl w:val="0409000F"/>
    <w:lvl w:ilvl="0">
      <w:start w:val="1"/>
      <w:numFmt w:val="decimal"/>
      <w:lvlText w:val="%1."/>
      <w:lvlJc w:val="left"/>
      <w:pPr>
        <w:tabs>
          <w:tab w:val="num" w:pos="630"/>
        </w:tabs>
        <w:ind w:left="630" w:hanging="360"/>
      </w:pPr>
    </w:lvl>
  </w:abstractNum>
  <w:abstractNum w:abstractNumId="34">
    <w:nsid w:val="7DA213F1"/>
    <w:multiLevelType w:val="hybridMultilevel"/>
    <w:tmpl w:val="086C880C"/>
    <w:lvl w:ilvl="0" w:tplc="EAC2D5B4">
      <w:start w:val="3"/>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1"/>
  </w:num>
  <w:num w:numId="4">
    <w:abstractNumId w:val="3"/>
  </w:num>
  <w:num w:numId="5">
    <w:abstractNumId w:val="2"/>
  </w:num>
  <w:num w:numId="6">
    <w:abstractNumId w:val="19"/>
  </w:num>
  <w:num w:numId="7">
    <w:abstractNumId w:val="21"/>
  </w:num>
  <w:num w:numId="8">
    <w:abstractNumId w:val="27"/>
  </w:num>
  <w:num w:numId="9">
    <w:abstractNumId w:val="17"/>
  </w:num>
  <w:num w:numId="10">
    <w:abstractNumId w:val="11"/>
  </w:num>
  <w:num w:numId="1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0"/>
  </w:num>
  <w:num w:numId="14">
    <w:abstractNumId w:val="33"/>
  </w:num>
  <w:num w:numId="15">
    <w:abstractNumId w:val="26"/>
  </w:num>
  <w:num w:numId="16">
    <w:abstractNumId w:val="20"/>
  </w:num>
  <w:num w:numId="17">
    <w:abstractNumId w:val="14"/>
  </w:num>
  <w:num w:numId="18">
    <w:abstractNumId w:val="7"/>
  </w:num>
  <w:num w:numId="19">
    <w:abstractNumId w:val="23"/>
  </w:num>
  <w:num w:numId="20">
    <w:abstractNumId w:val="0"/>
  </w:num>
  <w:num w:numId="21">
    <w:abstractNumId w:val="24"/>
  </w:num>
  <w:num w:numId="22">
    <w:abstractNumId w:val="25"/>
  </w:num>
  <w:num w:numId="23">
    <w:abstractNumId w:val="10"/>
  </w:num>
  <w:num w:numId="24">
    <w:abstractNumId w:val="4"/>
  </w:num>
  <w:num w:numId="25">
    <w:abstractNumId w:val="28"/>
  </w:num>
  <w:num w:numId="26">
    <w:abstractNumId w:val="32"/>
  </w:num>
  <w:num w:numId="27">
    <w:abstractNumId w:val="1"/>
  </w:num>
  <w:num w:numId="28">
    <w:abstractNumId w:val="34"/>
  </w:num>
  <w:num w:numId="29">
    <w:abstractNumId w:val="16"/>
  </w:num>
  <w:num w:numId="30">
    <w:abstractNumId w:val="29"/>
  </w:num>
  <w:num w:numId="31">
    <w:abstractNumId w:val="9"/>
  </w:num>
  <w:num w:numId="32">
    <w:abstractNumId w:val="6"/>
  </w:num>
  <w:num w:numId="33">
    <w:abstractNumId w:val="13"/>
  </w:num>
  <w:num w:numId="34">
    <w:abstractNumId w:val="15"/>
  </w:num>
  <w:num w:numId="35">
    <w:abstractNumId w:val="5"/>
  </w:num>
  <w:num w:numId="36">
    <w:abstractNumId w:val="22"/>
  </w:num>
  <w:num w:numId="3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20"/>
  <w:drawingGridHorizontalSpacing w:val="120"/>
  <w:displayHorizontalDrawingGridEvery w:val="2"/>
  <w:characterSpacingControl w:val="doNotCompress"/>
  <w:hdrShapeDefaults>
    <o:shapedefaults v:ext="edit" spidmax="214018"/>
  </w:hdrShapeDefaults>
  <w:footnotePr>
    <w:footnote w:id="-1"/>
    <w:footnote w:id="0"/>
  </w:footnotePr>
  <w:endnotePr>
    <w:endnote w:id="-1"/>
    <w:endnote w:id="0"/>
  </w:endnotePr>
  <w:compat>
    <w:useFELayout/>
  </w:compat>
  <w:rsids>
    <w:rsidRoot w:val="00B43ECB"/>
    <w:rsid w:val="000007B3"/>
    <w:rsid w:val="00000AED"/>
    <w:rsid w:val="0000272A"/>
    <w:rsid w:val="00002BFB"/>
    <w:rsid w:val="00002EB8"/>
    <w:rsid w:val="000058FA"/>
    <w:rsid w:val="000066A1"/>
    <w:rsid w:val="00007318"/>
    <w:rsid w:val="000120B5"/>
    <w:rsid w:val="00012476"/>
    <w:rsid w:val="0001276C"/>
    <w:rsid w:val="00013310"/>
    <w:rsid w:val="0001389E"/>
    <w:rsid w:val="000142A1"/>
    <w:rsid w:val="00016CF1"/>
    <w:rsid w:val="00016E65"/>
    <w:rsid w:val="00016F7C"/>
    <w:rsid w:val="00017E80"/>
    <w:rsid w:val="00017F5D"/>
    <w:rsid w:val="00021DCE"/>
    <w:rsid w:val="000231C7"/>
    <w:rsid w:val="00023228"/>
    <w:rsid w:val="0002436F"/>
    <w:rsid w:val="000253AC"/>
    <w:rsid w:val="000257A4"/>
    <w:rsid w:val="0002671C"/>
    <w:rsid w:val="00027D70"/>
    <w:rsid w:val="00030DD1"/>
    <w:rsid w:val="00032C65"/>
    <w:rsid w:val="0003479C"/>
    <w:rsid w:val="00034BDC"/>
    <w:rsid w:val="00041552"/>
    <w:rsid w:val="000420AA"/>
    <w:rsid w:val="00042FEC"/>
    <w:rsid w:val="000435A8"/>
    <w:rsid w:val="00044DBB"/>
    <w:rsid w:val="000458CB"/>
    <w:rsid w:val="000509A7"/>
    <w:rsid w:val="00051F98"/>
    <w:rsid w:val="00053EEF"/>
    <w:rsid w:val="00055814"/>
    <w:rsid w:val="00056D5D"/>
    <w:rsid w:val="00056E5F"/>
    <w:rsid w:val="00060FD5"/>
    <w:rsid w:val="00061525"/>
    <w:rsid w:val="00063ABE"/>
    <w:rsid w:val="00063B43"/>
    <w:rsid w:val="00063F6E"/>
    <w:rsid w:val="000647E4"/>
    <w:rsid w:val="000650D7"/>
    <w:rsid w:val="00071DB2"/>
    <w:rsid w:val="000726AF"/>
    <w:rsid w:val="00074EEB"/>
    <w:rsid w:val="00074FD9"/>
    <w:rsid w:val="0007517B"/>
    <w:rsid w:val="000765AD"/>
    <w:rsid w:val="00076963"/>
    <w:rsid w:val="00076D2D"/>
    <w:rsid w:val="00077282"/>
    <w:rsid w:val="0008079C"/>
    <w:rsid w:val="00080F32"/>
    <w:rsid w:val="000836E6"/>
    <w:rsid w:val="00083ECD"/>
    <w:rsid w:val="000845C2"/>
    <w:rsid w:val="000853A6"/>
    <w:rsid w:val="000904B1"/>
    <w:rsid w:val="00090D9A"/>
    <w:rsid w:val="0009150E"/>
    <w:rsid w:val="000949D3"/>
    <w:rsid w:val="00094DE9"/>
    <w:rsid w:val="000A272E"/>
    <w:rsid w:val="000A3DEE"/>
    <w:rsid w:val="000A4B87"/>
    <w:rsid w:val="000A5C7A"/>
    <w:rsid w:val="000A7EB1"/>
    <w:rsid w:val="000B02A3"/>
    <w:rsid w:val="000B13C6"/>
    <w:rsid w:val="000B3294"/>
    <w:rsid w:val="000B3D50"/>
    <w:rsid w:val="000B3F4B"/>
    <w:rsid w:val="000B46BF"/>
    <w:rsid w:val="000B5ED2"/>
    <w:rsid w:val="000C0E3F"/>
    <w:rsid w:val="000C1253"/>
    <w:rsid w:val="000C224D"/>
    <w:rsid w:val="000C227F"/>
    <w:rsid w:val="000C291B"/>
    <w:rsid w:val="000C433A"/>
    <w:rsid w:val="000C47D6"/>
    <w:rsid w:val="000C5806"/>
    <w:rsid w:val="000C64B0"/>
    <w:rsid w:val="000C6ABF"/>
    <w:rsid w:val="000D04A4"/>
    <w:rsid w:val="000D0FB1"/>
    <w:rsid w:val="000D1A6F"/>
    <w:rsid w:val="000D1D4C"/>
    <w:rsid w:val="000D3C9E"/>
    <w:rsid w:val="000D3F6A"/>
    <w:rsid w:val="000D40EF"/>
    <w:rsid w:val="000D471B"/>
    <w:rsid w:val="000D7D0C"/>
    <w:rsid w:val="000E1753"/>
    <w:rsid w:val="000E4918"/>
    <w:rsid w:val="000E507C"/>
    <w:rsid w:val="000F0257"/>
    <w:rsid w:val="000F3E96"/>
    <w:rsid w:val="000F3F68"/>
    <w:rsid w:val="000F4D90"/>
    <w:rsid w:val="000F5543"/>
    <w:rsid w:val="000F5D86"/>
    <w:rsid w:val="000F73D1"/>
    <w:rsid w:val="00100102"/>
    <w:rsid w:val="001004D3"/>
    <w:rsid w:val="00102EC6"/>
    <w:rsid w:val="00103223"/>
    <w:rsid w:val="00103E7F"/>
    <w:rsid w:val="00104257"/>
    <w:rsid w:val="00105B75"/>
    <w:rsid w:val="00111977"/>
    <w:rsid w:val="00112075"/>
    <w:rsid w:val="001127AA"/>
    <w:rsid w:val="00113AE1"/>
    <w:rsid w:val="00113B3B"/>
    <w:rsid w:val="00113EEC"/>
    <w:rsid w:val="00115231"/>
    <w:rsid w:val="001152FC"/>
    <w:rsid w:val="00115AF0"/>
    <w:rsid w:val="001177B3"/>
    <w:rsid w:val="00121C0D"/>
    <w:rsid w:val="00121C54"/>
    <w:rsid w:val="00122448"/>
    <w:rsid w:val="001225E9"/>
    <w:rsid w:val="0012523D"/>
    <w:rsid w:val="00125371"/>
    <w:rsid w:val="00125645"/>
    <w:rsid w:val="00126410"/>
    <w:rsid w:val="0013067D"/>
    <w:rsid w:val="001311E0"/>
    <w:rsid w:val="001327B6"/>
    <w:rsid w:val="001333B7"/>
    <w:rsid w:val="00133C41"/>
    <w:rsid w:val="00135239"/>
    <w:rsid w:val="001369EE"/>
    <w:rsid w:val="00136DDC"/>
    <w:rsid w:val="00137C32"/>
    <w:rsid w:val="00140285"/>
    <w:rsid w:val="0014041F"/>
    <w:rsid w:val="00143D26"/>
    <w:rsid w:val="001461B9"/>
    <w:rsid w:val="001468F4"/>
    <w:rsid w:val="0015143D"/>
    <w:rsid w:val="00151C0B"/>
    <w:rsid w:val="001522DA"/>
    <w:rsid w:val="001528C3"/>
    <w:rsid w:val="00152A0A"/>
    <w:rsid w:val="00153532"/>
    <w:rsid w:val="00153A34"/>
    <w:rsid w:val="00154BC8"/>
    <w:rsid w:val="00154EF1"/>
    <w:rsid w:val="00160251"/>
    <w:rsid w:val="00162E50"/>
    <w:rsid w:val="001634A0"/>
    <w:rsid w:val="0016405C"/>
    <w:rsid w:val="00166873"/>
    <w:rsid w:val="00167636"/>
    <w:rsid w:val="00170554"/>
    <w:rsid w:val="001718C0"/>
    <w:rsid w:val="00176306"/>
    <w:rsid w:val="00177239"/>
    <w:rsid w:val="001805EB"/>
    <w:rsid w:val="00181939"/>
    <w:rsid w:val="0018238E"/>
    <w:rsid w:val="00182626"/>
    <w:rsid w:val="00183343"/>
    <w:rsid w:val="00183A53"/>
    <w:rsid w:val="00184C77"/>
    <w:rsid w:val="001867AD"/>
    <w:rsid w:val="00186E9E"/>
    <w:rsid w:val="00186FB4"/>
    <w:rsid w:val="00190088"/>
    <w:rsid w:val="001908E2"/>
    <w:rsid w:val="00191BB0"/>
    <w:rsid w:val="001952A5"/>
    <w:rsid w:val="001A0ACD"/>
    <w:rsid w:val="001A1BC3"/>
    <w:rsid w:val="001A1EC9"/>
    <w:rsid w:val="001A6CDA"/>
    <w:rsid w:val="001B2ECD"/>
    <w:rsid w:val="001B3A83"/>
    <w:rsid w:val="001B4D6A"/>
    <w:rsid w:val="001B5B84"/>
    <w:rsid w:val="001B60B3"/>
    <w:rsid w:val="001B783E"/>
    <w:rsid w:val="001B7E21"/>
    <w:rsid w:val="001C03A9"/>
    <w:rsid w:val="001C0EBF"/>
    <w:rsid w:val="001C1D93"/>
    <w:rsid w:val="001C29CF"/>
    <w:rsid w:val="001C5520"/>
    <w:rsid w:val="001C5B92"/>
    <w:rsid w:val="001C5C41"/>
    <w:rsid w:val="001C6998"/>
    <w:rsid w:val="001C6B2B"/>
    <w:rsid w:val="001D06B1"/>
    <w:rsid w:val="001D06BE"/>
    <w:rsid w:val="001D18D6"/>
    <w:rsid w:val="001D5FB9"/>
    <w:rsid w:val="001D6C64"/>
    <w:rsid w:val="001D75E3"/>
    <w:rsid w:val="001D7A0D"/>
    <w:rsid w:val="001E107C"/>
    <w:rsid w:val="001E2685"/>
    <w:rsid w:val="001E4311"/>
    <w:rsid w:val="001E5DE4"/>
    <w:rsid w:val="001E6041"/>
    <w:rsid w:val="001E6D41"/>
    <w:rsid w:val="001E7895"/>
    <w:rsid w:val="001E79A6"/>
    <w:rsid w:val="001F17B7"/>
    <w:rsid w:val="001F4C84"/>
    <w:rsid w:val="001F6350"/>
    <w:rsid w:val="001F7511"/>
    <w:rsid w:val="002001F0"/>
    <w:rsid w:val="00201A07"/>
    <w:rsid w:val="002035FB"/>
    <w:rsid w:val="002047E9"/>
    <w:rsid w:val="00205C75"/>
    <w:rsid w:val="00207155"/>
    <w:rsid w:val="00212730"/>
    <w:rsid w:val="00212A0E"/>
    <w:rsid w:val="00212D97"/>
    <w:rsid w:val="0021346F"/>
    <w:rsid w:val="002151A5"/>
    <w:rsid w:val="00215EC5"/>
    <w:rsid w:val="00221CAC"/>
    <w:rsid w:val="00222113"/>
    <w:rsid w:val="00222B28"/>
    <w:rsid w:val="00222F44"/>
    <w:rsid w:val="00224913"/>
    <w:rsid w:val="00225EA2"/>
    <w:rsid w:val="002276A4"/>
    <w:rsid w:val="00231907"/>
    <w:rsid w:val="002319DA"/>
    <w:rsid w:val="00233485"/>
    <w:rsid w:val="00233580"/>
    <w:rsid w:val="002335E0"/>
    <w:rsid w:val="002339D4"/>
    <w:rsid w:val="0023400E"/>
    <w:rsid w:val="00234F63"/>
    <w:rsid w:val="0023598C"/>
    <w:rsid w:val="0023635D"/>
    <w:rsid w:val="0023647F"/>
    <w:rsid w:val="00237FCC"/>
    <w:rsid w:val="00241B66"/>
    <w:rsid w:val="00243229"/>
    <w:rsid w:val="00243CB5"/>
    <w:rsid w:val="00245841"/>
    <w:rsid w:val="00245DBB"/>
    <w:rsid w:val="00246494"/>
    <w:rsid w:val="002466BF"/>
    <w:rsid w:val="00246F32"/>
    <w:rsid w:val="00251144"/>
    <w:rsid w:val="00251262"/>
    <w:rsid w:val="0025139F"/>
    <w:rsid w:val="00251638"/>
    <w:rsid w:val="002524B5"/>
    <w:rsid w:val="002526E4"/>
    <w:rsid w:val="002528B2"/>
    <w:rsid w:val="002529F6"/>
    <w:rsid w:val="00253B49"/>
    <w:rsid w:val="00257A8E"/>
    <w:rsid w:val="00257B4A"/>
    <w:rsid w:val="00262F70"/>
    <w:rsid w:val="0026324C"/>
    <w:rsid w:val="002646FD"/>
    <w:rsid w:val="00264A11"/>
    <w:rsid w:val="0026648E"/>
    <w:rsid w:val="00266949"/>
    <w:rsid w:val="002703B6"/>
    <w:rsid w:val="00271393"/>
    <w:rsid w:val="002713AF"/>
    <w:rsid w:val="00271616"/>
    <w:rsid w:val="00272D67"/>
    <w:rsid w:val="00273445"/>
    <w:rsid w:val="002743DE"/>
    <w:rsid w:val="00275F42"/>
    <w:rsid w:val="00277064"/>
    <w:rsid w:val="00280F5C"/>
    <w:rsid w:val="0028235D"/>
    <w:rsid w:val="00282E7A"/>
    <w:rsid w:val="00282EFF"/>
    <w:rsid w:val="0028459C"/>
    <w:rsid w:val="002849AC"/>
    <w:rsid w:val="00284C26"/>
    <w:rsid w:val="00285332"/>
    <w:rsid w:val="002900B4"/>
    <w:rsid w:val="00290A5F"/>
    <w:rsid w:val="00290CAD"/>
    <w:rsid w:val="00291046"/>
    <w:rsid w:val="00291534"/>
    <w:rsid w:val="0029186F"/>
    <w:rsid w:val="00291C6C"/>
    <w:rsid w:val="00292634"/>
    <w:rsid w:val="00294BB3"/>
    <w:rsid w:val="002967F0"/>
    <w:rsid w:val="00297875"/>
    <w:rsid w:val="002A1EF6"/>
    <w:rsid w:val="002A34F1"/>
    <w:rsid w:val="002A43F5"/>
    <w:rsid w:val="002A52A1"/>
    <w:rsid w:val="002A5328"/>
    <w:rsid w:val="002A5B07"/>
    <w:rsid w:val="002A5B8E"/>
    <w:rsid w:val="002A5F8E"/>
    <w:rsid w:val="002A78E0"/>
    <w:rsid w:val="002B020E"/>
    <w:rsid w:val="002B0947"/>
    <w:rsid w:val="002B09F1"/>
    <w:rsid w:val="002B1894"/>
    <w:rsid w:val="002B29CB"/>
    <w:rsid w:val="002B2D48"/>
    <w:rsid w:val="002B3BF3"/>
    <w:rsid w:val="002B51A1"/>
    <w:rsid w:val="002B61E1"/>
    <w:rsid w:val="002B7C3A"/>
    <w:rsid w:val="002C43D3"/>
    <w:rsid w:val="002C49F7"/>
    <w:rsid w:val="002C50D7"/>
    <w:rsid w:val="002C536B"/>
    <w:rsid w:val="002C6ECA"/>
    <w:rsid w:val="002C7DC6"/>
    <w:rsid w:val="002D085F"/>
    <w:rsid w:val="002D1D91"/>
    <w:rsid w:val="002D2FDB"/>
    <w:rsid w:val="002D3E21"/>
    <w:rsid w:val="002D4634"/>
    <w:rsid w:val="002D5477"/>
    <w:rsid w:val="002D5B5B"/>
    <w:rsid w:val="002D73F0"/>
    <w:rsid w:val="002D78F7"/>
    <w:rsid w:val="002D7EF8"/>
    <w:rsid w:val="002E072E"/>
    <w:rsid w:val="002E1214"/>
    <w:rsid w:val="002E173E"/>
    <w:rsid w:val="002E4644"/>
    <w:rsid w:val="002E4DDF"/>
    <w:rsid w:val="002E4EAD"/>
    <w:rsid w:val="002E5B87"/>
    <w:rsid w:val="002F060C"/>
    <w:rsid w:val="002F07B7"/>
    <w:rsid w:val="002F1767"/>
    <w:rsid w:val="002F1F68"/>
    <w:rsid w:val="002F3B20"/>
    <w:rsid w:val="002F52DD"/>
    <w:rsid w:val="002F67EB"/>
    <w:rsid w:val="002F7961"/>
    <w:rsid w:val="002F79C3"/>
    <w:rsid w:val="003001B1"/>
    <w:rsid w:val="00301A48"/>
    <w:rsid w:val="0030211F"/>
    <w:rsid w:val="003032DB"/>
    <w:rsid w:val="003056EF"/>
    <w:rsid w:val="00305E62"/>
    <w:rsid w:val="003065C2"/>
    <w:rsid w:val="00311ABE"/>
    <w:rsid w:val="00312FE6"/>
    <w:rsid w:val="00313CD9"/>
    <w:rsid w:val="00314AEB"/>
    <w:rsid w:val="0031525B"/>
    <w:rsid w:val="00315832"/>
    <w:rsid w:val="00316AEE"/>
    <w:rsid w:val="003216A8"/>
    <w:rsid w:val="003246F8"/>
    <w:rsid w:val="00326C29"/>
    <w:rsid w:val="00327890"/>
    <w:rsid w:val="00330EF3"/>
    <w:rsid w:val="003319B7"/>
    <w:rsid w:val="00331EC1"/>
    <w:rsid w:val="003324A0"/>
    <w:rsid w:val="0033278B"/>
    <w:rsid w:val="003331A4"/>
    <w:rsid w:val="003345CD"/>
    <w:rsid w:val="00336C25"/>
    <w:rsid w:val="00341DF2"/>
    <w:rsid w:val="003454BD"/>
    <w:rsid w:val="00346C3E"/>
    <w:rsid w:val="00347DED"/>
    <w:rsid w:val="0035034D"/>
    <w:rsid w:val="003506EB"/>
    <w:rsid w:val="00350FFC"/>
    <w:rsid w:val="00351D59"/>
    <w:rsid w:val="003526D3"/>
    <w:rsid w:val="0035295C"/>
    <w:rsid w:val="00356A59"/>
    <w:rsid w:val="00356A63"/>
    <w:rsid w:val="00356BE7"/>
    <w:rsid w:val="00357BDF"/>
    <w:rsid w:val="00363535"/>
    <w:rsid w:val="00363554"/>
    <w:rsid w:val="00365D12"/>
    <w:rsid w:val="00367177"/>
    <w:rsid w:val="0037021B"/>
    <w:rsid w:val="00370A63"/>
    <w:rsid w:val="00372190"/>
    <w:rsid w:val="003729D1"/>
    <w:rsid w:val="00372F74"/>
    <w:rsid w:val="003747F7"/>
    <w:rsid w:val="00374ED6"/>
    <w:rsid w:val="0037535C"/>
    <w:rsid w:val="00376722"/>
    <w:rsid w:val="00381A08"/>
    <w:rsid w:val="00381A1D"/>
    <w:rsid w:val="00382733"/>
    <w:rsid w:val="003837EB"/>
    <w:rsid w:val="00383DB3"/>
    <w:rsid w:val="00384B98"/>
    <w:rsid w:val="00384C11"/>
    <w:rsid w:val="00384EE1"/>
    <w:rsid w:val="00385334"/>
    <w:rsid w:val="00385E20"/>
    <w:rsid w:val="00392DAE"/>
    <w:rsid w:val="0039379B"/>
    <w:rsid w:val="00394820"/>
    <w:rsid w:val="00396A21"/>
    <w:rsid w:val="00396D67"/>
    <w:rsid w:val="003A2408"/>
    <w:rsid w:val="003A4151"/>
    <w:rsid w:val="003A532E"/>
    <w:rsid w:val="003A6B1D"/>
    <w:rsid w:val="003A6B7E"/>
    <w:rsid w:val="003A6E42"/>
    <w:rsid w:val="003A7E47"/>
    <w:rsid w:val="003B034B"/>
    <w:rsid w:val="003B1FD6"/>
    <w:rsid w:val="003B3E4E"/>
    <w:rsid w:val="003B5F65"/>
    <w:rsid w:val="003B726C"/>
    <w:rsid w:val="003C1427"/>
    <w:rsid w:val="003C1484"/>
    <w:rsid w:val="003C173F"/>
    <w:rsid w:val="003C30B2"/>
    <w:rsid w:val="003C31C5"/>
    <w:rsid w:val="003C3822"/>
    <w:rsid w:val="003C5CE9"/>
    <w:rsid w:val="003C710D"/>
    <w:rsid w:val="003D0CC7"/>
    <w:rsid w:val="003D2F35"/>
    <w:rsid w:val="003D436D"/>
    <w:rsid w:val="003D5531"/>
    <w:rsid w:val="003D58B5"/>
    <w:rsid w:val="003D61F5"/>
    <w:rsid w:val="003D6497"/>
    <w:rsid w:val="003D6A81"/>
    <w:rsid w:val="003D6FC9"/>
    <w:rsid w:val="003D7C01"/>
    <w:rsid w:val="003E03FE"/>
    <w:rsid w:val="003E0507"/>
    <w:rsid w:val="003E1551"/>
    <w:rsid w:val="003E1973"/>
    <w:rsid w:val="003E1C1C"/>
    <w:rsid w:val="003E3FE2"/>
    <w:rsid w:val="003E47AE"/>
    <w:rsid w:val="003E5DBD"/>
    <w:rsid w:val="003E6839"/>
    <w:rsid w:val="003F06AA"/>
    <w:rsid w:val="003F13C6"/>
    <w:rsid w:val="003F38CC"/>
    <w:rsid w:val="003F3FB4"/>
    <w:rsid w:val="003F4A11"/>
    <w:rsid w:val="003F59F6"/>
    <w:rsid w:val="003F6DC3"/>
    <w:rsid w:val="003F7003"/>
    <w:rsid w:val="003F70EC"/>
    <w:rsid w:val="003F7D67"/>
    <w:rsid w:val="0040174D"/>
    <w:rsid w:val="004025DB"/>
    <w:rsid w:val="00402D24"/>
    <w:rsid w:val="0040355C"/>
    <w:rsid w:val="00403979"/>
    <w:rsid w:val="0040406A"/>
    <w:rsid w:val="0040667B"/>
    <w:rsid w:val="00407A49"/>
    <w:rsid w:val="00410077"/>
    <w:rsid w:val="00410B06"/>
    <w:rsid w:val="0041136A"/>
    <w:rsid w:val="00411462"/>
    <w:rsid w:val="00412654"/>
    <w:rsid w:val="00412752"/>
    <w:rsid w:val="00412C73"/>
    <w:rsid w:val="0041344C"/>
    <w:rsid w:val="0041392D"/>
    <w:rsid w:val="00414105"/>
    <w:rsid w:val="00414318"/>
    <w:rsid w:val="004152D9"/>
    <w:rsid w:val="00415529"/>
    <w:rsid w:val="00415EA2"/>
    <w:rsid w:val="004163E5"/>
    <w:rsid w:val="00416613"/>
    <w:rsid w:val="00416A2E"/>
    <w:rsid w:val="00417C95"/>
    <w:rsid w:val="00420160"/>
    <w:rsid w:val="00423A71"/>
    <w:rsid w:val="00425335"/>
    <w:rsid w:val="00426457"/>
    <w:rsid w:val="00426757"/>
    <w:rsid w:val="00427EF5"/>
    <w:rsid w:val="00433E4F"/>
    <w:rsid w:val="0044135E"/>
    <w:rsid w:val="00443536"/>
    <w:rsid w:val="00444C61"/>
    <w:rsid w:val="004467D6"/>
    <w:rsid w:val="004471DC"/>
    <w:rsid w:val="004522CD"/>
    <w:rsid w:val="00452F3B"/>
    <w:rsid w:val="004564B5"/>
    <w:rsid w:val="00462537"/>
    <w:rsid w:val="00463936"/>
    <w:rsid w:val="004663ED"/>
    <w:rsid w:val="004671A0"/>
    <w:rsid w:val="00467358"/>
    <w:rsid w:val="00467E0F"/>
    <w:rsid w:val="0047204A"/>
    <w:rsid w:val="00472509"/>
    <w:rsid w:val="00474E1B"/>
    <w:rsid w:val="00475890"/>
    <w:rsid w:val="00476DB2"/>
    <w:rsid w:val="0047731E"/>
    <w:rsid w:val="00480193"/>
    <w:rsid w:val="00482138"/>
    <w:rsid w:val="0048266F"/>
    <w:rsid w:val="004838AC"/>
    <w:rsid w:val="0048393E"/>
    <w:rsid w:val="00483F20"/>
    <w:rsid w:val="0048424B"/>
    <w:rsid w:val="0048438C"/>
    <w:rsid w:val="00484B31"/>
    <w:rsid w:val="00484BA2"/>
    <w:rsid w:val="00484DFD"/>
    <w:rsid w:val="004854FE"/>
    <w:rsid w:val="00485735"/>
    <w:rsid w:val="0048739D"/>
    <w:rsid w:val="00487855"/>
    <w:rsid w:val="00487DC2"/>
    <w:rsid w:val="00491FDC"/>
    <w:rsid w:val="004921EE"/>
    <w:rsid w:val="0049231C"/>
    <w:rsid w:val="00493DE2"/>
    <w:rsid w:val="0049500C"/>
    <w:rsid w:val="004957CE"/>
    <w:rsid w:val="004A2414"/>
    <w:rsid w:val="004A48EC"/>
    <w:rsid w:val="004A6AE3"/>
    <w:rsid w:val="004A75CD"/>
    <w:rsid w:val="004B01FD"/>
    <w:rsid w:val="004B352A"/>
    <w:rsid w:val="004B3E26"/>
    <w:rsid w:val="004B3E47"/>
    <w:rsid w:val="004B4CFE"/>
    <w:rsid w:val="004B6E7E"/>
    <w:rsid w:val="004B764E"/>
    <w:rsid w:val="004C1C85"/>
    <w:rsid w:val="004C258C"/>
    <w:rsid w:val="004C28E3"/>
    <w:rsid w:val="004C3A07"/>
    <w:rsid w:val="004C471D"/>
    <w:rsid w:val="004C5D15"/>
    <w:rsid w:val="004D0459"/>
    <w:rsid w:val="004D085C"/>
    <w:rsid w:val="004D2808"/>
    <w:rsid w:val="004D39A3"/>
    <w:rsid w:val="004D3B85"/>
    <w:rsid w:val="004D5E0C"/>
    <w:rsid w:val="004D7ABE"/>
    <w:rsid w:val="004E2263"/>
    <w:rsid w:val="004E4618"/>
    <w:rsid w:val="004E4CE5"/>
    <w:rsid w:val="004E522A"/>
    <w:rsid w:val="004E6CE1"/>
    <w:rsid w:val="004F0718"/>
    <w:rsid w:val="004F1A44"/>
    <w:rsid w:val="004F1DF6"/>
    <w:rsid w:val="004F2DEC"/>
    <w:rsid w:val="004F341B"/>
    <w:rsid w:val="004F3DCE"/>
    <w:rsid w:val="004F49DC"/>
    <w:rsid w:val="005003E1"/>
    <w:rsid w:val="00501868"/>
    <w:rsid w:val="00503237"/>
    <w:rsid w:val="00506694"/>
    <w:rsid w:val="00506800"/>
    <w:rsid w:val="00506C4B"/>
    <w:rsid w:val="0050730F"/>
    <w:rsid w:val="00510A00"/>
    <w:rsid w:val="00510B0B"/>
    <w:rsid w:val="005121F8"/>
    <w:rsid w:val="00513820"/>
    <w:rsid w:val="00515D18"/>
    <w:rsid w:val="00516B4F"/>
    <w:rsid w:val="005174D7"/>
    <w:rsid w:val="00517AED"/>
    <w:rsid w:val="00520086"/>
    <w:rsid w:val="00520D26"/>
    <w:rsid w:val="00521164"/>
    <w:rsid w:val="0052201C"/>
    <w:rsid w:val="00522149"/>
    <w:rsid w:val="00523089"/>
    <w:rsid w:val="00523594"/>
    <w:rsid w:val="00524C47"/>
    <w:rsid w:val="00524E46"/>
    <w:rsid w:val="0052593B"/>
    <w:rsid w:val="00526FDE"/>
    <w:rsid w:val="005314E0"/>
    <w:rsid w:val="00532F63"/>
    <w:rsid w:val="00533316"/>
    <w:rsid w:val="0053499E"/>
    <w:rsid w:val="00535154"/>
    <w:rsid w:val="005357E8"/>
    <w:rsid w:val="00535D37"/>
    <w:rsid w:val="00537189"/>
    <w:rsid w:val="00537BCB"/>
    <w:rsid w:val="00540081"/>
    <w:rsid w:val="00540583"/>
    <w:rsid w:val="00541DD4"/>
    <w:rsid w:val="00542376"/>
    <w:rsid w:val="00543B63"/>
    <w:rsid w:val="00543DF6"/>
    <w:rsid w:val="00544289"/>
    <w:rsid w:val="005470CD"/>
    <w:rsid w:val="00547A0B"/>
    <w:rsid w:val="00547BC2"/>
    <w:rsid w:val="00547C09"/>
    <w:rsid w:val="005502A3"/>
    <w:rsid w:val="00551CF9"/>
    <w:rsid w:val="00552BF1"/>
    <w:rsid w:val="00554F83"/>
    <w:rsid w:val="005642DF"/>
    <w:rsid w:val="00565F7C"/>
    <w:rsid w:val="00567009"/>
    <w:rsid w:val="00572D3F"/>
    <w:rsid w:val="00572E1A"/>
    <w:rsid w:val="00574F74"/>
    <w:rsid w:val="0057529A"/>
    <w:rsid w:val="00575E50"/>
    <w:rsid w:val="005778C8"/>
    <w:rsid w:val="00577A99"/>
    <w:rsid w:val="005807F9"/>
    <w:rsid w:val="00580B24"/>
    <w:rsid w:val="00581390"/>
    <w:rsid w:val="0058185B"/>
    <w:rsid w:val="00582697"/>
    <w:rsid w:val="00582BF7"/>
    <w:rsid w:val="005865AB"/>
    <w:rsid w:val="005928FD"/>
    <w:rsid w:val="00593BB0"/>
    <w:rsid w:val="005958C9"/>
    <w:rsid w:val="00595968"/>
    <w:rsid w:val="005964E3"/>
    <w:rsid w:val="005A266F"/>
    <w:rsid w:val="005A466F"/>
    <w:rsid w:val="005A4788"/>
    <w:rsid w:val="005A490E"/>
    <w:rsid w:val="005A4FB7"/>
    <w:rsid w:val="005A60B4"/>
    <w:rsid w:val="005B0A45"/>
    <w:rsid w:val="005B0C78"/>
    <w:rsid w:val="005B0DA5"/>
    <w:rsid w:val="005B1D3D"/>
    <w:rsid w:val="005B1FBC"/>
    <w:rsid w:val="005B3F48"/>
    <w:rsid w:val="005B5427"/>
    <w:rsid w:val="005B70BE"/>
    <w:rsid w:val="005B74BC"/>
    <w:rsid w:val="005C1752"/>
    <w:rsid w:val="005C41D0"/>
    <w:rsid w:val="005C5DBD"/>
    <w:rsid w:val="005C60C9"/>
    <w:rsid w:val="005C6748"/>
    <w:rsid w:val="005C7336"/>
    <w:rsid w:val="005C7BCF"/>
    <w:rsid w:val="005D0C24"/>
    <w:rsid w:val="005D2EBF"/>
    <w:rsid w:val="005D3461"/>
    <w:rsid w:val="005D52B4"/>
    <w:rsid w:val="005D56CF"/>
    <w:rsid w:val="005D6195"/>
    <w:rsid w:val="005D6AAC"/>
    <w:rsid w:val="005E272D"/>
    <w:rsid w:val="005E2A1B"/>
    <w:rsid w:val="005E4789"/>
    <w:rsid w:val="005E711A"/>
    <w:rsid w:val="005F179E"/>
    <w:rsid w:val="005F4E16"/>
    <w:rsid w:val="005F54AE"/>
    <w:rsid w:val="005F563B"/>
    <w:rsid w:val="005F6D23"/>
    <w:rsid w:val="006026A4"/>
    <w:rsid w:val="00602A67"/>
    <w:rsid w:val="00602F93"/>
    <w:rsid w:val="006032C9"/>
    <w:rsid w:val="00603EC4"/>
    <w:rsid w:val="00604EFA"/>
    <w:rsid w:val="00605CC1"/>
    <w:rsid w:val="00607780"/>
    <w:rsid w:val="0061103B"/>
    <w:rsid w:val="00611EDF"/>
    <w:rsid w:val="00616E8C"/>
    <w:rsid w:val="0061723A"/>
    <w:rsid w:val="006203B6"/>
    <w:rsid w:val="006209F5"/>
    <w:rsid w:val="0062135D"/>
    <w:rsid w:val="00621873"/>
    <w:rsid w:val="006232C7"/>
    <w:rsid w:val="00624D2D"/>
    <w:rsid w:val="00625643"/>
    <w:rsid w:val="00625AF4"/>
    <w:rsid w:val="00626629"/>
    <w:rsid w:val="00626E02"/>
    <w:rsid w:val="00627C4F"/>
    <w:rsid w:val="00627F3E"/>
    <w:rsid w:val="00631E66"/>
    <w:rsid w:val="00632D34"/>
    <w:rsid w:val="006358AE"/>
    <w:rsid w:val="00635E5B"/>
    <w:rsid w:val="0063739C"/>
    <w:rsid w:val="00643662"/>
    <w:rsid w:val="00645020"/>
    <w:rsid w:val="006456D8"/>
    <w:rsid w:val="0065213B"/>
    <w:rsid w:val="00653C7B"/>
    <w:rsid w:val="00654640"/>
    <w:rsid w:val="006548AF"/>
    <w:rsid w:val="0065495E"/>
    <w:rsid w:val="00655139"/>
    <w:rsid w:val="00657406"/>
    <w:rsid w:val="00657582"/>
    <w:rsid w:val="00661BD6"/>
    <w:rsid w:val="0066409F"/>
    <w:rsid w:val="006674CC"/>
    <w:rsid w:val="006700FC"/>
    <w:rsid w:val="006729B6"/>
    <w:rsid w:val="00673ECA"/>
    <w:rsid w:val="006766EF"/>
    <w:rsid w:val="00677D90"/>
    <w:rsid w:val="00682F7F"/>
    <w:rsid w:val="00683608"/>
    <w:rsid w:val="006843B2"/>
    <w:rsid w:val="00684DF1"/>
    <w:rsid w:val="00685AEA"/>
    <w:rsid w:val="00690246"/>
    <w:rsid w:val="00690DC0"/>
    <w:rsid w:val="00691022"/>
    <w:rsid w:val="00691415"/>
    <w:rsid w:val="00691CF1"/>
    <w:rsid w:val="006922BE"/>
    <w:rsid w:val="00692706"/>
    <w:rsid w:val="0069294E"/>
    <w:rsid w:val="00692A7E"/>
    <w:rsid w:val="00693B3B"/>
    <w:rsid w:val="00694381"/>
    <w:rsid w:val="00694D90"/>
    <w:rsid w:val="00697D31"/>
    <w:rsid w:val="006A02F0"/>
    <w:rsid w:val="006A0BC8"/>
    <w:rsid w:val="006A15EC"/>
    <w:rsid w:val="006A167C"/>
    <w:rsid w:val="006A250E"/>
    <w:rsid w:val="006A3A87"/>
    <w:rsid w:val="006A4F83"/>
    <w:rsid w:val="006A78EB"/>
    <w:rsid w:val="006B073D"/>
    <w:rsid w:val="006B0997"/>
    <w:rsid w:val="006B0B12"/>
    <w:rsid w:val="006B0F9B"/>
    <w:rsid w:val="006B1ECF"/>
    <w:rsid w:val="006B393A"/>
    <w:rsid w:val="006B3E9E"/>
    <w:rsid w:val="006B70F8"/>
    <w:rsid w:val="006C194E"/>
    <w:rsid w:val="006C2076"/>
    <w:rsid w:val="006C2E83"/>
    <w:rsid w:val="006C4364"/>
    <w:rsid w:val="006C4BC8"/>
    <w:rsid w:val="006C4EE4"/>
    <w:rsid w:val="006C55BB"/>
    <w:rsid w:val="006C5871"/>
    <w:rsid w:val="006C6164"/>
    <w:rsid w:val="006C7E1E"/>
    <w:rsid w:val="006D0A9F"/>
    <w:rsid w:val="006D163B"/>
    <w:rsid w:val="006D1711"/>
    <w:rsid w:val="006D20C9"/>
    <w:rsid w:val="006D68AE"/>
    <w:rsid w:val="006D7DD8"/>
    <w:rsid w:val="006E0865"/>
    <w:rsid w:val="006E20B9"/>
    <w:rsid w:val="006E2277"/>
    <w:rsid w:val="006E2FAF"/>
    <w:rsid w:val="006E38F1"/>
    <w:rsid w:val="006E4D70"/>
    <w:rsid w:val="006E5A90"/>
    <w:rsid w:val="006E614B"/>
    <w:rsid w:val="006E6241"/>
    <w:rsid w:val="006E6410"/>
    <w:rsid w:val="006E7C2E"/>
    <w:rsid w:val="006F0C2E"/>
    <w:rsid w:val="006F1495"/>
    <w:rsid w:val="006F3000"/>
    <w:rsid w:val="006F3102"/>
    <w:rsid w:val="006F3DF2"/>
    <w:rsid w:val="006F52D8"/>
    <w:rsid w:val="006F53AA"/>
    <w:rsid w:val="00700907"/>
    <w:rsid w:val="007016B3"/>
    <w:rsid w:val="007036C2"/>
    <w:rsid w:val="00706461"/>
    <w:rsid w:val="00706BE6"/>
    <w:rsid w:val="00707942"/>
    <w:rsid w:val="007145DB"/>
    <w:rsid w:val="00714FC7"/>
    <w:rsid w:val="00715491"/>
    <w:rsid w:val="00715838"/>
    <w:rsid w:val="00717C4B"/>
    <w:rsid w:val="0072043B"/>
    <w:rsid w:val="007219F1"/>
    <w:rsid w:val="00721E23"/>
    <w:rsid w:val="00721EEC"/>
    <w:rsid w:val="0072236E"/>
    <w:rsid w:val="007225B1"/>
    <w:rsid w:val="0072265C"/>
    <w:rsid w:val="00723886"/>
    <w:rsid w:val="00723B8A"/>
    <w:rsid w:val="00726176"/>
    <w:rsid w:val="00730A49"/>
    <w:rsid w:val="00730F55"/>
    <w:rsid w:val="00731C71"/>
    <w:rsid w:val="00732BCB"/>
    <w:rsid w:val="007341B7"/>
    <w:rsid w:val="00735929"/>
    <w:rsid w:val="007416B6"/>
    <w:rsid w:val="00741B5F"/>
    <w:rsid w:val="0074352E"/>
    <w:rsid w:val="007505E1"/>
    <w:rsid w:val="00752504"/>
    <w:rsid w:val="007538E9"/>
    <w:rsid w:val="00757CC6"/>
    <w:rsid w:val="007626BD"/>
    <w:rsid w:val="00762B0D"/>
    <w:rsid w:val="0076417A"/>
    <w:rsid w:val="007642E9"/>
    <w:rsid w:val="00764625"/>
    <w:rsid w:val="00764951"/>
    <w:rsid w:val="00765EFC"/>
    <w:rsid w:val="007673AA"/>
    <w:rsid w:val="00767DF1"/>
    <w:rsid w:val="0077056E"/>
    <w:rsid w:val="0077211E"/>
    <w:rsid w:val="007721A4"/>
    <w:rsid w:val="00773D3C"/>
    <w:rsid w:val="0078087A"/>
    <w:rsid w:val="00784AF9"/>
    <w:rsid w:val="00787F3C"/>
    <w:rsid w:val="00792290"/>
    <w:rsid w:val="00793D57"/>
    <w:rsid w:val="007943C8"/>
    <w:rsid w:val="00796B85"/>
    <w:rsid w:val="00797C2D"/>
    <w:rsid w:val="007A131A"/>
    <w:rsid w:val="007A24FC"/>
    <w:rsid w:val="007A3433"/>
    <w:rsid w:val="007A5607"/>
    <w:rsid w:val="007A5BD0"/>
    <w:rsid w:val="007B06AF"/>
    <w:rsid w:val="007B32A2"/>
    <w:rsid w:val="007B408C"/>
    <w:rsid w:val="007B5431"/>
    <w:rsid w:val="007B5E4C"/>
    <w:rsid w:val="007B6096"/>
    <w:rsid w:val="007C1F75"/>
    <w:rsid w:val="007C2345"/>
    <w:rsid w:val="007C2421"/>
    <w:rsid w:val="007C2AC7"/>
    <w:rsid w:val="007C4B0F"/>
    <w:rsid w:val="007C60F4"/>
    <w:rsid w:val="007C6FDA"/>
    <w:rsid w:val="007C7AF5"/>
    <w:rsid w:val="007D0119"/>
    <w:rsid w:val="007D1EBB"/>
    <w:rsid w:val="007D25E6"/>
    <w:rsid w:val="007D46B1"/>
    <w:rsid w:val="007D4D69"/>
    <w:rsid w:val="007D4E80"/>
    <w:rsid w:val="007D516A"/>
    <w:rsid w:val="007D6A9F"/>
    <w:rsid w:val="007D7462"/>
    <w:rsid w:val="007E1E49"/>
    <w:rsid w:val="007E4454"/>
    <w:rsid w:val="007E57A0"/>
    <w:rsid w:val="007E6577"/>
    <w:rsid w:val="007E7553"/>
    <w:rsid w:val="007F0031"/>
    <w:rsid w:val="007F03BB"/>
    <w:rsid w:val="007F0927"/>
    <w:rsid w:val="007F1EA8"/>
    <w:rsid w:val="007F20E7"/>
    <w:rsid w:val="007F4829"/>
    <w:rsid w:val="007F72A9"/>
    <w:rsid w:val="007F7AE6"/>
    <w:rsid w:val="00800E0F"/>
    <w:rsid w:val="0080185B"/>
    <w:rsid w:val="00801E11"/>
    <w:rsid w:val="008031F8"/>
    <w:rsid w:val="008060C4"/>
    <w:rsid w:val="00810180"/>
    <w:rsid w:val="0081140C"/>
    <w:rsid w:val="00814072"/>
    <w:rsid w:val="0081414D"/>
    <w:rsid w:val="00816567"/>
    <w:rsid w:val="00817E22"/>
    <w:rsid w:val="00821088"/>
    <w:rsid w:val="0082111B"/>
    <w:rsid w:val="00822D7C"/>
    <w:rsid w:val="008240F7"/>
    <w:rsid w:val="00824554"/>
    <w:rsid w:val="00825218"/>
    <w:rsid w:val="00825BC4"/>
    <w:rsid w:val="0082640C"/>
    <w:rsid w:val="00826B68"/>
    <w:rsid w:val="008319A6"/>
    <w:rsid w:val="00832426"/>
    <w:rsid w:val="00832B16"/>
    <w:rsid w:val="008331DA"/>
    <w:rsid w:val="00834D44"/>
    <w:rsid w:val="0083531A"/>
    <w:rsid w:val="0083743A"/>
    <w:rsid w:val="00837BA2"/>
    <w:rsid w:val="00840AD0"/>
    <w:rsid w:val="0084413F"/>
    <w:rsid w:val="00845219"/>
    <w:rsid w:val="00846EFD"/>
    <w:rsid w:val="00847084"/>
    <w:rsid w:val="008500FD"/>
    <w:rsid w:val="00850949"/>
    <w:rsid w:val="00853E96"/>
    <w:rsid w:val="00854024"/>
    <w:rsid w:val="0085537D"/>
    <w:rsid w:val="00855B10"/>
    <w:rsid w:val="00855D2B"/>
    <w:rsid w:val="00857790"/>
    <w:rsid w:val="00860772"/>
    <w:rsid w:val="00861746"/>
    <w:rsid w:val="00863429"/>
    <w:rsid w:val="0086412E"/>
    <w:rsid w:val="00866DBC"/>
    <w:rsid w:val="00867A79"/>
    <w:rsid w:val="00870B7B"/>
    <w:rsid w:val="00871858"/>
    <w:rsid w:val="0087373F"/>
    <w:rsid w:val="00873AB8"/>
    <w:rsid w:val="008748FA"/>
    <w:rsid w:val="00875886"/>
    <w:rsid w:val="00876E9F"/>
    <w:rsid w:val="008811C5"/>
    <w:rsid w:val="00881930"/>
    <w:rsid w:val="008819C9"/>
    <w:rsid w:val="00886716"/>
    <w:rsid w:val="00886F52"/>
    <w:rsid w:val="00890DD6"/>
    <w:rsid w:val="008912E0"/>
    <w:rsid w:val="00892CEC"/>
    <w:rsid w:val="008930F8"/>
    <w:rsid w:val="008936CF"/>
    <w:rsid w:val="00894D00"/>
    <w:rsid w:val="0089684E"/>
    <w:rsid w:val="00896AE2"/>
    <w:rsid w:val="008A1515"/>
    <w:rsid w:val="008A1D92"/>
    <w:rsid w:val="008A2396"/>
    <w:rsid w:val="008A2827"/>
    <w:rsid w:val="008A3ECE"/>
    <w:rsid w:val="008A67FE"/>
    <w:rsid w:val="008A6955"/>
    <w:rsid w:val="008B0519"/>
    <w:rsid w:val="008B0673"/>
    <w:rsid w:val="008B2B44"/>
    <w:rsid w:val="008B2B65"/>
    <w:rsid w:val="008B3EED"/>
    <w:rsid w:val="008B6DB3"/>
    <w:rsid w:val="008C0742"/>
    <w:rsid w:val="008C0FAA"/>
    <w:rsid w:val="008C0FDD"/>
    <w:rsid w:val="008C167D"/>
    <w:rsid w:val="008C2598"/>
    <w:rsid w:val="008C2B80"/>
    <w:rsid w:val="008C3155"/>
    <w:rsid w:val="008C448F"/>
    <w:rsid w:val="008C5735"/>
    <w:rsid w:val="008C5C8F"/>
    <w:rsid w:val="008C5E4F"/>
    <w:rsid w:val="008C7DD1"/>
    <w:rsid w:val="008D0142"/>
    <w:rsid w:val="008D1ABF"/>
    <w:rsid w:val="008D226F"/>
    <w:rsid w:val="008D370A"/>
    <w:rsid w:val="008D518D"/>
    <w:rsid w:val="008D789A"/>
    <w:rsid w:val="008E2295"/>
    <w:rsid w:val="008E3B5C"/>
    <w:rsid w:val="008E4BFE"/>
    <w:rsid w:val="008E5E67"/>
    <w:rsid w:val="008E5FD5"/>
    <w:rsid w:val="008E7794"/>
    <w:rsid w:val="008E7A5E"/>
    <w:rsid w:val="008F0927"/>
    <w:rsid w:val="008F1DD5"/>
    <w:rsid w:val="008F22FF"/>
    <w:rsid w:val="008F2D46"/>
    <w:rsid w:val="008F32D3"/>
    <w:rsid w:val="008F3FE2"/>
    <w:rsid w:val="008F4EE6"/>
    <w:rsid w:val="008F6256"/>
    <w:rsid w:val="008F7974"/>
    <w:rsid w:val="008F7AD1"/>
    <w:rsid w:val="0090025D"/>
    <w:rsid w:val="00901920"/>
    <w:rsid w:val="009043AF"/>
    <w:rsid w:val="0090442A"/>
    <w:rsid w:val="00905ECA"/>
    <w:rsid w:val="00906E4C"/>
    <w:rsid w:val="00906FAA"/>
    <w:rsid w:val="009109AA"/>
    <w:rsid w:val="009119F0"/>
    <w:rsid w:val="00913254"/>
    <w:rsid w:val="00913B3B"/>
    <w:rsid w:val="009140DB"/>
    <w:rsid w:val="0091663F"/>
    <w:rsid w:val="009257B3"/>
    <w:rsid w:val="00925C9C"/>
    <w:rsid w:val="00925DA7"/>
    <w:rsid w:val="00930FC0"/>
    <w:rsid w:val="00931015"/>
    <w:rsid w:val="0093372C"/>
    <w:rsid w:val="00935B8F"/>
    <w:rsid w:val="009401B3"/>
    <w:rsid w:val="009441F9"/>
    <w:rsid w:val="009442C6"/>
    <w:rsid w:val="00944E9A"/>
    <w:rsid w:val="0094598F"/>
    <w:rsid w:val="0094705C"/>
    <w:rsid w:val="009521EE"/>
    <w:rsid w:val="009540C5"/>
    <w:rsid w:val="00954FE9"/>
    <w:rsid w:val="00957359"/>
    <w:rsid w:val="00957931"/>
    <w:rsid w:val="00961AB6"/>
    <w:rsid w:val="00962C12"/>
    <w:rsid w:val="0096395D"/>
    <w:rsid w:val="00965310"/>
    <w:rsid w:val="00967836"/>
    <w:rsid w:val="009710BD"/>
    <w:rsid w:val="009720FB"/>
    <w:rsid w:val="00973B2A"/>
    <w:rsid w:val="0097405C"/>
    <w:rsid w:val="0097598C"/>
    <w:rsid w:val="009771F2"/>
    <w:rsid w:val="00983F4B"/>
    <w:rsid w:val="009850EA"/>
    <w:rsid w:val="009871A7"/>
    <w:rsid w:val="009873A7"/>
    <w:rsid w:val="009916C2"/>
    <w:rsid w:val="009934E2"/>
    <w:rsid w:val="00993D8D"/>
    <w:rsid w:val="00997959"/>
    <w:rsid w:val="009A0B8A"/>
    <w:rsid w:val="009A25F4"/>
    <w:rsid w:val="009A392B"/>
    <w:rsid w:val="009A4EE9"/>
    <w:rsid w:val="009A6970"/>
    <w:rsid w:val="009A7008"/>
    <w:rsid w:val="009A72E4"/>
    <w:rsid w:val="009B0BD5"/>
    <w:rsid w:val="009B35EA"/>
    <w:rsid w:val="009B473D"/>
    <w:rsid w:val="009B4A4C"/>
    <w:rsid w:val="009C1827"/>
    <w:rsid w:val="009C2501"/>
    <w:rsid w:val="009C63EE"/>
    <w:rsid w:val="009D060D"/>
    <w:rsid w:val="009E04D5"/>
    <w:rsid w:val="009E2594"/>
    <w:rsid w:val="009E2C2D"/>
    <w:rsid w:val="009E4C7E"/>
    <w:rsid w:val="009E5C19"/>
    <w:rsid w:val="009E7AF6"/>
    <w:rsid w:val="009F38B1"/>
    <w:rsid w:val="009F3D72"/>
    <w:rsid w:val="009F4374"/>
    <w:rsid w:val="009F5439"/>
    <w:rsid w:val="009F5446"/>
    <w:rsid w:val="009F573C"/>
    <w:rsid w:val="009F6021"/>
    <w:rsid w:val="009F6EC8"/>
    <w:rsid w:val="009F791A"/>
    <w:rsid w:val="00A01805"/>
    <w:rsid w:val="00A0346F"/>
    <w:rsid w:val="00A038A1"/>
    <w:rsid w:val="00A03FD6"/>
    <w:rsid w:val="00A04893"/>
    <w:rsid w:val="00A05133"/>
    <w:rsid w:val="00A06306"/>
    <w:rsid w:val="00A06FB8"/>
    <w:rsid w:val="00A1133D"/>
    <w:rsid w:val="00A11ADC"/>
    <w:rsid w:val="00A13527"/>
    <w:rsid w:val="00A138FE"/>
    <w:rsid w:val="00A13A5C"/>
    <w:rsid w:val="00A144FE"/>
    <w:rsid w:val="00A14A54"/>
    <w:rsid w:val="00A1616A"/>
    <w:rsid w:val="00A17574"/>
    <w:rsid w:val="00A1764A"/>
    <w:rsid w:val="00A1770E"/>
    <w:rsid w:val="00A207AB"/>
    <w:rsid w:val="00A218B3"/>
    <w:rsid w:val="00A268B2"/>
    <w:rsid w:val="00A30C22"/>
    <w:rsid w:val="00A3283A"/>
    <w:rsid w:val="00A32CE0"/>
    <w:rsid w:val="00A3413D"/>
    <w:rsid w:val="00A3494A"/>
    <w:rsid w:val="00A34D6C"/>
    <w:rsid w:val="00A3559D"/>
    <w:rsid w:val="00A40389"/>
    <w:rsid w:val="00A40CB1"/>
    <w:rsid w:val="00A42010"/>
    <w:rsid w:val="00A42323"/>
    <w:rsid w:val="00A43655"/>
    <w:rsid w:val="00A43DE3"/>
    <w:rsid w:val="00A44221"/>
    <w:rsid w:val="00A45A83"/>
    <w:rsid w:val="00A50D15"/>
    <w:rsid w:val="00A51838"/>
    <w:rsid w:val="00A51AE7"/>
    <w:rsid w:val="00A53138"/>
    <w:rsid w:val="00A53408"/>
    <w:rsid w:val="00A543AA"/>
    <w:rsid w:val="00A56309"/>
    <w:rsid w:val="00A56404"/>
    <w:rsid w:val="00A56CD9"/>
    <w:rsid w:val="00A60CD8"/>
    <w:rsid w:val="00A61D42"/>
    <w:rsid w:val="00A64982"/>
    <w:rsid w:val="00A7011B"/>
    <w:rsid w:val="00A71E04"/>
    <w:rsid w:val="00A72694"/>
    <w:rsid w:val="00A72FFE"/>
    <w:rsid w:val="00A74664"/>
    <w:rsid w:val="00A74E06"/>
    <w:rsid w:val="00A7639D"/>
    <w:rsid w:val="00A774D8"/>
    <w:rsid w:val="00A8124F"/>
    <w:rsid w:val="00A82AF0"/>
    <w:rsid w:val="00A861B2"/>
    <w:rsid w:val="00A8716A"/>
    <w:rsid w:val="00A874EB"/>
    <w:rsid w:val="00A90AA0"/>
    <w:rsid w:val="00A90DB1"/>
    <w:rsid w:val="00A911B5"/>
    <w:rsid w:val="00A93F03"/>
    <w:rsid w:val="00A95F55"/>
    <w:rsid w:val="00A97730"/>
    <w:rsid w:val="00A97FEC"/>
    <w:rsid w:val="00AA0358"/>
    <w:rsid w:val="00AA20D1"/>
    <w:rsid w:val="00AA741C"/>
    <w:rsid w:val="00AA7698"/>
    <w:rsid w:val="00AA7A5F"/>
    <w:rsid w:val="00AB15DF"/>
    <w:rsid w:val="00AB1C7D"/>
    <w:rsid w:val="00AB1EA6"/>
    <w:rsid w:val="00AB310E"/>
    <w:rsid w:val="00AB4376"/>
    <w:rsid w:val="00AB47E9"/>
    <w:rsid w:val="00AB5600"/>
    <w:rsid w:val="00AB6F6F"/>
    <w:rsid w:val="00AC0840"/>
    <w:rsid w:val="00AC1D50"/>
    <w:rsid w:val="00AC2868"/>
    <w:rsid w:val="00AC37D6"/>
    <w:rsid w:val="00AC443B"/>
    <w:rsid w:val="00AC4513"/>
    <w:rsid w:val="00AC536E"/>
    <w:rsid w:val="00AC6412"/>
    <w:rsid w:val="00AC6F86"/>
    <w:rsid w:val="00AD068E"/>
    <w:rsid w:val="00AD55E4"/>
    <w:rsid w:val="00AD647D"/>
    <w:rsid w:val="00AD6BE7"/>
    <w:rsid w:val="00AE02FE"/>
    <w:rsid w:val="00AE1F50"/>
    <w:rsid w:val="00AE2E69"/>
    <w:rsid w:val="00AE4548"/>
    <w:rsid w:val="00AE47EF"/>
    <w:rsid w:val="00AE49B4"/>
    <w:rsid w:val="00AE4EAE"/>
    <w:rsid w:val="00AE56F4"/>
    <w:rsid w:val="00AE581B"/>
    <w:rsid w:val="00AE61BF"/>
    <w:rsid w:val="00AE6B46"/>
    <w:rsid w:val="00AE7810"/>
    <w:rsid w:val="00AE7A5E"/>
    <w:rsid w:val="00AE7CA9"/>
    <w:rsid w:val="00AF3E3F"/>
    <w:rsid w:val="00AF42C9"/>
    <w:rsid w:val="00AF4C20"/>
    <w:rsid w:val="00AF5269"/>
    <w:rsid w:val="00AF611B"/>
    <w:rsid w:val="00B01B24"/>
    <w:rsid w:val="00B01EF3"/>
    <w:rsid w:val="00B04199"/>
    <w:rsid w:val="00B049C5"/>
    <w:rsid w:val="00B04B3D"/>
    <w:rsid w:val="00B122A7"/>
    <w:rsid w:val="00B14F9C"/>
    <w:rsid w:val="00B15F17"/>
    <w:rsid w:val="00B16DDE"/>
    <w:rsid w:val="00B17B73"/>
    <w:rsid w:val="00B17D0A"/>
    <w:rsid w:val="00B20969"/>
    <w:rsid w:val="00B212A1"/>
    <w:rsid w:val="00B24A1A"/>
    <w:rsid w:val="00B269D3"/>
    <w:rsid w:val="00B270D1"/>
    <w:rsid w:val="00B307FF"/>
    <w:rsid w:val="00B30987"/>
    <w:rsid w:val="00B3114E"/>
    <w:rsid w:val="00B315A2"/>
    <w:rsid w:val="00B3186A"/>
    <w:rsid w:val="00B3315C"/>
    <w:rsid w:val="00B331E6"/>
    <w:rsid w:val="00B33566"/>
    <w:rsid w:val="00B4010B"/>
    <w:rsid w:val="00B4062E"/>
    <w:rsid w:val="00B416D0"/>
    <w:rsid w:val="00B41AC9"/>
    <w:rsid w:val="00B42E39"/>
    <w:rsid w:val="00B43ECB"/>
    <w:rsid w:val="00B44BB7"/>
    <w:rsid w:val="00B46637"/>
    <w:rsid w:val="00B46814"/>
    <w:rsid w:val="00B46EA9"/>
    <w:rsid w:val="00B4782A"/>
    <w:rsid w:val="00B47FF5"/>
    <w:rsid w:val="00B50D8A"/>
    <w:rsid w:val="00B53A6E"/>
    <w:rsid w:val="00B54F0E"/>
    <w:rsid w:val="00B56D54"/>
    <w:rsid w:val="00B60BB8"/>
    <w:rsid w:val="00B63943"/>
    <w:rsid w:val="00B64851"/>
    <w:rsid w:val="00B650AA"/>
    <w:rsid w:val="00B6670B"/>
    <w:rsid w:val="00B67FE2"/>
    <w:rsid w:val="00B700D1"/>
    <w:rsid w:val="00B72306"/>
    <w:rsid w:val="00B73D68"/>
    <w:rsid w:val="00B7465D"/>
    <w:rsid w:val="00B748BF"/>
    <w:rsid w:val="00B76882"/>
    <w:rsid w:val="00B76FC9"/>
    <w:rsid w:val="00B77CB8"/>
    <w:rsid w:val="00B77F8F"/>
    <w:rsid w:val="00B833F2"/>
    <w:rsid w:val="00B83456"/>
    <w:rsid w:val="00B835E2"/>
    <w:rsid w:val="00B855D1"/>
    <w:rsid w:val="00B87E5C"/>
    <w:rsid w:val="00B90BED"/>
    <w:rsid w:val="00B93B79"/>
    <w:rsid w:val="00B955E8"/>
    <w:rsid w:val="00B956B1"/>
    <w:rsid w:val="00B97ECA"/>
    <w:rsid w:val="00BA1AF5"/>
    <w:rsid w:val="00BA2291"/>
    <w:rsid w:val="00BA310C"/>
    <w:rsid w:val="00BA3413"/>
    <w:rsid w:val="00BA4C33"/>
    <w:rsid w:val="00BA4E47"/>
    <w:rsid w:val="00BA6E6F"/>
    <w:rsid w:val="00BA7AEF"/>
    <w:rsid w:val="00BA7D2F"/>
    <w:rsid w:val="00BB1453"/>
    <w:rsid w:val="00BB1930"/>
    <w:rsid w:val="00BB251B"/>
    <w:rsid w:val="00BB3CCD"/>
    <w:rsid w:val="00BB5FE5"/>
    <w:rsid w:val="00BB606A"/>
    <w:rsid w:val="00BC1661"/>
    <w:rsid w:val="00BC185F"/>
    <w:rsid w:val="00BC2423"/>
    <w:rsid w:val="00BC29BD"/>
    <w:rsid w:val="00BC2C23"/>
    <w:rsid w:val="00BC3990"/>
    <w:rsid w:val="00BC3B59"/>
    <w:rsid w:val="00BC43D4"/>
    <w:rsid w:val="00BC5572"/>
    <w:rsid w:val="00BC635A"/>
    <w:rsid w:val="00BC7171"/>
    <w:rsid w:val="00BC7C45"/>
    <w:rsid w:val="00BC7F8A"/>
    <w:rsid w:val="00BD14FF"/>
    <w:rsid w:val="00BD1617"/>
    <w:rsid w:val="00BD21D7"/>
    <w:rsid w:val="00BD22E5"/>
    <w:rsid w:val="00BD2E53"/>
    <w:rsid w:val="00BD31C2"/>
    <w:rsid w:val="00BD41EB"/>
    <w:rsid w:val="00BD4C75"/>
    <w:rsid w:val="00BD5846"/>
    <w:rsid w:val="00BD58C6"/>
    <w:rsid w:val="00BD7667"/>
    <w:rsid w:val="00BD7D42"/>
    <w:rsid w:val="00BE0A0A"/>
    <w:rsid w:val="00BE0E21"/>
    <w:rsid w:val="00BE2082"/>
    <w:rsid w:val="00BE28A5"/>
    <w:rsid w:val="00BE53F4"/>
    <w:rsid w:val="00BE591F"/>
    <w:rsid w:val="00BE64AC"/>
    <w:rsid w:val="00BE6611"/>
    <w:rsid w:val="00BE6722"/>
    <w:rsid w:val="00BE6EDE"/>
    <w:rsid w:val="00BF185A"/>
    <w:rsid w:val="00BF1E36"/>
    <w:rsid w:val="00BF1F88"/>
    <w:rsid w:val="00BF275E"/>
    <w:rsid w:val="00BF4B36"/>
    <w:rsid w:val="00BF5FFF"/>
    <w:rsid w:val="00C00F05"/>
    <w:rsid w:val="00C015C5"/>
    <w:rsid w:val="00C04196"/>
    <w:rsid w:val="00C07BB0"/>
    <w:rsid w:val="00C07F56"/>
    <w:rsid w:val="00C10285"/>
    <w:rsid w:val="00C11307"/>
    <w:rsid w:val="00C11A7B"/>
    <w:rsid w:val="00C11C15"/>
    <w:rsid w:val="00C13779"/>
    <w:rsid w:val="00C14287"/>
    <w:rsid w:val="00C17F92"/>
    <w:rsid w:val="00C21BC4"/>
    <w:rsid w:val="00C225B4"/>
    <w:rsid w:val="00C22A4C"/>
    <w:rsid w:val="00C23456"/>
    <w:rsid w:val="00C23C79"/>
    <w:rsid w:val="00C243AF"/>
    <w:rsid w:val="00C2467C"/>
    <w:rsid w:val="00C26117"/>
    <w:rsid w:val="00C27EF3"/>
    <w:rsid w:val="00C3032B"/>
    <w:rsid w:val="00C31353"/>
    <w:rsid w:val="00C319F0"/>
    <w:rsid w:val="00C3251C"/>
    <w:rsid w:val="00C326A0"/>
    <w:rsid w:val="00C32AC9"/>
    <w:rsid w:val="00C334D9"/>
    <w:rsid w:val="00C3388F"/>
    <w:rsid w:val="00C34423"/>
    <w:rsid w:val="00C34FCD"/>
    <w:rsid w:val="00C37DAA"/>
    <w:rsid w:val="00C41932"/>
    <w:rsid w:val="00C43A5C"/>
    <w:rsid w:val="00C43CE8"/>
    <w:rsid w:val="00C44D07"/>
    <w:rsid w:val="00C45B07"/>
    <w:rsid w:val="00C45C65"/>
    <w:rsid w:val="00C46AFA"/>
    <w:rsid w:val="00C51311"/>
    <w:rsid w:val="00C53600"/>
    <w:rsid w:val="00C53B39"/>
    <w:rsid w:val="00C54E65"/>
    <w:rsid w:val="00C56112"/>
    <w:rsid w:val="00C56F66"/>
    <w:rsid w:val="00C60AD3"/>
    <w:rsid w:val="00C60E4D"/>
    <w:rsid w:val="00C62649"/>
    <w:rsid w:val="00C637D8"/>
    <w:rsid w:val="00C6533F"/>
    <w:rsid w:val="00C665BB"/>
    <w:rsid w:val="00C67062"/>
    <w:rsid w:val="00C70B0D"/>
    <w:rsid w:val="00C70D4D"/>
    <w:rsid w:val="00C71333"/>
    <w:rsid w:val="00C72244"/>
    <w:rsid w:val="00C72A83"/>
    <w:rsid w:val="00C74C86"/>
    <w:rsid w:val="00C75368"/>
    <w:rsid w:val="00C7651E"/>
    <w:rsid w:val="00C81964"/>
    <w:rsid w:val="00C8293B"/>
    <w:rsid w:val="00C834E1"/>
    <w:rsid w:val="00C841AA"/>
    <w:rsid w:val="00C84614"/>
    <w:rsid w:val="00C84EF9"/>
    <w:rsid w:val="00C8643E"/>
    <w:rsid w:val="00C8654D"/>
    <w:rsid w:val="00C879F9"/>
    <w:rsid w:val="00C9207F"/>
    <w:rsid w:val="00C92102"/>
    <w:rsid w:val="00C92393"/>
    <w:rsid w:val="00C93F10"/>
    <w:rsid w:val="00C9486F"/>
    <w:rsid w:val="00C95800"/>
    <w:rsid w:val="00CA076D"/>
    <w:rsid w:val="00CA1752"/>
    <w:rsid w:val="00CA23F7"/>
    <w:rsid w:val="00CA29D0"/>
    <w:rsid w:val="00CA2A3F"/>
    <w:rsid w:val="00CA38C0"/>
    <w:rsid w:val="00CA41F8"/>
    <w:rsid w:val="00CA4AD7"/>
    <w:rsid w:val="00CA61B3"/>
    <w:rsid w:val="00CA7588"/>
    <w:rsid w:val="00CA7912"/>
    <w:rsid w:val="00CA7A0D"/>
    <w:rsid w:val="00CA7E07"/>
    <w:rsid w:val="00CB0397"/>
    <w:rsid w:val="00CB0653"/>
    <w:rsid w:val="00CB0F93"/>
    <w:rsid w:val="00CB2DD3"/>
    <w:rsid w:val="00CB4507"/>
    <w:rsid w:val="00CB5FD5"/>
    <w:rsid w:val="00CB6EC7"/>
    <w:rsid w:val="00CB74D9"/>
    <w:rsid w:val="00CC07AA"/>
    <w:rsid w:val="00CC136B"/>
    <w:rsid w:val="00CC348C"/>
    <w:rsid w:val="00CC3732"/>
    <w:rsid w:val="00CC38B2"/>
    <w:rsid w:val="00CC478E"/>
    <w:rsid w:val="00CC6DCC"/>
    <w:rsid w:val="00CD346B"/>
    <w:rsid w:val="00CD3744"/>
    <w:rsid w:val="00CD4689"/>
    <w:rsid w:val="00CD6019"/>
    <w:rsid w:val="00CD6218"/>
    <w:rsid w:val="00CD6D39"/>
    <w:rsid w:val="00CD6EA8"/>
    <w:rsid w:val="00CE02C8"/>
    <w:rsid w:val="00CE0636"/>
    <w:rsid w:val="00CE1B49"/>
    <w:rsid w:val="00CE1BDF"/>
    <w:rsid w:val="00CE1FC4"/>
    <w:rsid w:val="00CE2BF0"/>
    <w:rsid w:val="00CE3233"/>
    <w:rsid w:val="00CE5B56"/>
    <w:rsid w:val="00CE68E1"/>
    <w:rsid w:val="00CE77EF"/>
    <w:rsid w:val="00CF1933"/>
    <w:rsid w:val="00CF1967"/>
    <w:rsid w:val="00CF40DE"/>
    <w:rsid w:val="00CF58B8"/>
    <w:rsid w:val="00CF6E50"/>
    <w:rsid w:val="00D03FE4"/>
    <w:rsid w:val="00D04F6C"/>
    <w:rsid w:val="00D054BB"/>
    <w:rsid w:val="00D05BE7"/>
    <w:rsid w:val="00D06429"/>
    <w:rsid w:val="00D0721F"/>
    <w:rsid w:val="00D10EA6"/>
    <w:rsid w:val="00D11238"/>
    <w:rsid w:val="00D123D2"/>
    <w:rsid w:val="00D133C9"/>
    <w:rsid w:val="00D15AE0"/>
    <w:rsid w:val="00D16EB4"/>
    <w:rsid w:val="00D178B5"/>
    <w:rsid w:val="00D2064E"/>
    <w:rsid w:val="00D207D7"/>
    <w:rsid w:val="00D22F5D"/>
    <w:rsid w:val="00D23231"/>
    <w:rsid w:val="00D2432D"/>
    <w:rsid w:val="00D30CDC"/>
    <w:rsid w:val="00D30D61"/>
    <w:rsid w:val="00D3459D"/>
    <w:rsid w:val="00D37B07"/>
    <w:rsid w:val="00D41297"/>
    <w:rsid w:val="00D45011"/>
    <w:rsid w:val="00D45661"/>
    <w:rsid w:val="00D4603E"/>
    <w:rsid w:val="00D479E3"/>
    <w:rsid w:val="00D50292"/>
    <w:rsid w:val="00D520E0"/>
    <w:rsid w:val="00D522A5"/>
    <w:rsid w:val="00D528FD"/>
    <w:rsid w:val="00D56B1A"/>
    <w:rsid w:val="00D5768D"/>
    <w:rsid w:val="00D576D4"/>
    <w:rsid w:val="00D57F25"/>
    <w:rsid w:val="00D61652"/>
    <w:rsid w:val="00D62AB2"/>
    <w:rsid w:val="00D64B29"/>
    <w:rsid w:val="00D64D8E"/>
    <w:rsid w:val="00D650FF"/>
    <w:rsid w:val="00D65B27"/>
    <w:rsid w:val="00D66D26"/>
    <w:rsid w:val="00D67137"/>
    <w:rsid w:val="00D73823"/>
    <w:rsid w:val="00D73D16"/>
    <w:rsid w:val="00D7481B"/>
    <w:rsid w:val="00D74AA6"/>
    <w:rsid w:val="00D75714"/>
    <w:rsid w:val="00D76AD0"/>
    <w:rsid w:val="00D80660"/>
    <w:rsid w:val="00D80E20"/>
    <w:rsid w:val="00D82A2E"/>
    <w:rsid w:val="00D82B3C"/>
    <w:rsid w:val="00D83259"/>
    <w:rsid w:val="00D839D7"/>
    <w:rsid w:val="00D83BCE"/>
    <w:rsid w:val="00D83DAB"/>
    <w:rsid w:val="00D863DD"/>
    <w:rsid w:val="00D86481"/>
    <w:rsid w:val="00D8731B"/>
    <w:rsid w:val="00D902F1"/>
    <w:rsid w:val="00D90652"/>
    <w:rsid w:val="00D91270"/>
    <w:rsid w:val="00D924B6"/>
    <w:rsid w:val="00D93536"/>
    <w:rsid w:val="00D95072"/>
    <w:rsid w:val="00D9558C"/>
    <w:rsid w:val="00D96C96"/>
    <w:rsid w:val="00D96DF6"/>
    <w:rsid w:val="00D9786E"/>
    <w:rsid w:val="00DA04D6"/>
    <w:rsid w:val="00DA1362"/>
    <w:rsid w:val="00DA1E6B"/>
    <w:rsid w:val="00DA2853"/>
    <w:rsid w:val="00DA29FD"/>
    <w:rsid w:val="00DA53CB"/>
    <w:rsid w:val="00DA7D65"/>
    <w:rsid w:val="00DB15C9"/>
    <w:rsid w:val="00DB166B"/>
    <w:rsid w:val="00DB17C7"/>
    <w:rsid w:val="00DB1DBD"/>
    <w:rsid w:val="00DB35A9"/>
    <w:rsid w:val="00DB465E"/>
    <w:rsid w:val="00DB74F5"/>
    <w:rsid w:val="00DC0829"/>
    <w:rsid w:val="00DC0BE9"/>
    <w:rsid w:val="00DC27E9"/>
    <w:rsid w:val="00DC2AF7"/>
    <w:rsid w:val="00DC33F9"/>
    <w:rsid w:val="00DC554A"/>
    <w:rsid w:val="00DC6062"/>
    <w:rsid w:val="00DC6655"/>
    <w:rsid w:val="00DD002B"/>
    <w:rsid w:val="00DD19FB"/>
    <w:rsid w:val="00DD3404"/>
    <w:rsid w:val="00DD4892"/>
    <w:rsid w:val="00DD4A93"/>
    <w:rsid w:val="00DD5A36"/>
    <w:rsid w:val="00DD651B"/>
    <w:rsid w:val="00DD7C7F"/>
    <w:rsid w:val="00DE0673"/>
    <w:rsid w:val="00DE2862"/>
    <w:rsid w:val="00DE69C3"/>
    <w:rsid w:val="00DE6E7B"/>
    <w:rsid w:val="00DE70F1"/>
    <w:rsid w:val="00DE71C0"/>
    <w:rsid w:val="00DF162A"/>
    <w:rsid w:val="00DF1966"/>
    <w:rsid w:val="00DF3DC3"/>
    <w:rsid w:val="00DF4EA5"/>
    <w:rsid w:val="00DF6B25"/>
    <w:rsid w:val="00DF6E28"/>
    <w:rsid w:val="00DF7740"/>
    <w:rsid w:val="00DF782B"/>
    <w:rsid w:val="00E04252"/>
    <w:rsid w:val="00E07846"/>
    <w:rsid w:val="00E0794E"/>
    <w:rsid w:val="00E07E5F"/>
    <w:rsid w:val="00E11ED0"/>
    <w:rsid w:val="00E125F7"/>
    <w:rsid w:val="00E15A45"/>
    <w:rsid w:val="00E16F1D"/>
    <w:rsid w:val="00E20D5D"/>
    <w:rsid w:val="00E21B15"/>
    <w:rsid w:val="00E23483"/>
    <w:rsid w:val="00E252C4"/>
    <w:rsid w:val="00E26538"/>
    <w:rsid w:val="00E26ADC"/>
    <w:rsid w:val="00E343DD"/>
    <w:rsid w:val="00E35D04"/>
    <w:rsid w:val="00E3697E"/>
    <w:rsid w:val="00E40B80"/>
    <w:rsid w:val="00E40CD1"/>
    <w:rsid w:val="00E4127C"/>
    <w:rsid w:val="00E4592A"/>
    <w:rsid w:val="00E45D8E"/>
    <w:rsid w:val="00E4649A"/>
    <w:rsid w:val="00E5031D"/>
    <w:rsid w:val="00E50DC0"/>
    <w:rsid w:val="00E52AD9"/>
    <w:rsid w:val="00E538E4"/>
    <w:rsid w:val="00E55593"/>
    <w:rsid w:val="00E556C1"/>
    <w:rsid w:val="00E56B21"/>
    <w:rsid w:val="00E605BB"/>
    <w:rsid w:val="00E61BF7"/>
    <w:rsid w:val="00E629B5"/>
    <w:rsid w:val="00E63EE2"/>
    <w:rsid w:val="00E66D09"/>
    <w:rsid w:val="00E67883"/>
    <w:rsid w:val="00E719BA"/>
    <w:rsid w:val="00E74A86"/>
    <w:rsid w:val="00E75ABA"/>
    <w:rsid w:val="00E8424F"/>
    <w:rsid w:val="00E845EE"/>
    <w:rsid w:val="00E846BE"/>
    <w:rsid w:val="00E855CE"/>
    <w:rsid w:val="00E87ADB"/>
    <w:rsid w:val="00E87C50"/>
    <w:rsid w:val="00E9156F"/>
    <w:rsid w:val="00E91988"/>
    <w:rsid w:val="00E91F32"/>
    <w:rsid w:val="00E93B31"/>
    <w:rsid w:val="00E942F2"/>
    <w:rsid w:val="00E9540F"/>
    <w:rsid w:val="00E95DE8"/>
    <w:rsid w:val="00E971A3"/>
    <w:rsid w:val="00EA1382"/>
    <w:rsid w:val="00EA14AF"/>
    <w:rsid w:val="00EA2C56"/>
    <w:rsid w:val="00EA3494"/>
    <w:rsid w:val="00EA71A1"/>
    <w:rsid w:val="00EA7829"/>
    <w:rsid w:val="00EB1765"/>
    <w:rsid w:val="00EB5972"/>
    <w:rsid w:val="00EB682F"/>
    <w:rsid w:val="00EB6BD6"/>
    <w:rsid w:val="00EB70A4"/>
    <w:rsid w:val="00EC081E"/>
    <w:rsid w:val="00EC2F8F"/>
    <w:rsid w:val="00EC2FB2"/>
    <w:rsid w:val="00EC4E51"/>
    <w:rsid w:val="00EC59D5"/>
    <w:rsid w:val="00ED11DA"/>
    <w:rsid w:val="00ED5E44"/>
    <w:rsid w:val="00EE0785"/>
    <w:rsid w:val="00EE59F4"/>
    <w:rsid w:val="00EE713E"/>
    <w:rsid w:val="00EE7BC7"/>
    <w:rsid w:val="00EF0878"/>
    <w:rsid w:val="00EF163B"/>
    <w:rsid w:val="00EF21B0"/>
    <w:rsid w:val="00EF4C7C"/>
    <w:rsid w:val="00F01739"/>
    <w:rsid w:val="00F0388A"/>
    <w:rsid w:val="00F05206"/>
    <w:rsid w:val="00F079ED"/>
    <w:rsid w:val="00F07AA5"/>
    <w:rsid w:val="00F07CC3"/>
    <w:rsid w:val="00F10FA0"/>
    <w:rsid w:val="00F12F8B"/>
    <w:rsid w:val="00F13776"/>
    <w:rsid w:val="00F14B8C"/>
    <w:rsid w:val="00F14CB7"/>
    <w:rsid w:val="00F1617F"/>
    <w:rsid w:val="00F164C0"/>
    <w:rsid w:val="00F207DB"/>
    <w:rsid w:val="00F2096D"/>
    <w:rsid w:val="00F2309E"/>
    <w:rsid w:val="00F234C1"/>
    <w:rsid w:val="00F26BC9"/>
    <w:rsid w:val="00F27D9D"/>
    <w:rsid w:val="00F31C2D"/>
    <w:rsid w:val="00F31EE6"/>
    <w:rsid w:val="00F34747"/>
    <w:rsid w:val="00F34FD4"/>
    <w:rsid w:val="00F3789F"/>
    <w:rsid w:val="00F37D96"/>
    <w:rsid w:val="00F420A1"/>
    <w:rsid w:val="00F44286"/>
    <w:rsid w:val="00F455D4"/>
    <w:rsid w:val="00F45913"/>
    <w:rsid w:val="00F459A7"/>
    <w:rsid w:val="00F47395"/>
    <w:rsid w:val="00F47627"/>
    <w:rsid w:val="00F50EEC"/>
    <w:rsid w:val="00F51EC2"/>
    <w:rsid w:val="00F5271E"/>
    <w:rsid w:val="00F536A3"/>
    <w:rsid w:val="00F564D6"/>
    <w:rsid w:val="00F60CC3"/>
    <w:rsid w:val="00F62A48"/>
    <w:rsid w:val="00F64DCA"/>
    <w:rsid w:val="00F65156"/>
    <w:rsid w:val="00F65855"/>
    <w:rsid w:val="00F70B3D"/>
    <w:rsid w:val="00F70EED"/>
    <w:rsid w:val="00F7141F"/>
    <w:rsid w:val="00F75FA9"/>
    <w:rsid w:val="00F76778"/>
    <w:rsid w:val="00F77688"/>
    <w:rsid w:val="00F80950"/>
    <w:rsid w:val="00F819CB"/>
    <w:rsid w:val="00F819CE"/>
    <w:rsid w:val="00F82DF2"/>
    <w:rsid w:val="00F83D9D"/>
    <w:rsid w:val="00F84CAA"/>
    <w:rsid w:val="00F867D2"/>
    <w:rsid w:val="00F86FD1"/>
    <w:rsid w:val="00F91BB4"/>
    <w:rsid w:val="00F92D60"/>
    <w:rsid w:val="00F93770"/>
    <w:rsid w:val="00F93822"/>
    <w:rsid w:val="00F939F7"/>
    <w:rsid w:val="00F97251"/>
    <w:rsid w:val="00FA0F0D"/>
    <w:rsid w:val="00FA119C"/>
    <w:rsid w:val="00FA308E"/>
    <w:rsid w:val="00FA3620"/>
    <w:rsid w:val="00FA535F"/>
    <w:rsid w:val="00FA5AA8"/>
    <w:rsid w:val="00FA6111"/>
    <w:rsid w:val="00FA70D0"/>
    <w:rsid w:val="00FA7F73"/>
    <w:rsid w:val="00FB1A26"/>
    <w:rsid w:val="00FB2154"/>
    <w:rsid w:val="00FB25C3"/>
    <w:rsid w:val="00FB2E41"/>
    <w:rsid w:val="00FB3C90"/>
    <w:rsid w:val="00FC09FB"/>
    <w:rsid w:val="00FC0D05"/>
    <w:rsid w:val="00FC27FB"/>
    <w:rsid w:val="00FC471B"/>
    <w:rsid w:val="00FC582A"/>
    <w:rsid w:val="00FC6351"/>
    <w:rsid w:val="00FC6524"/>
    <w:rsid w:val="00FC6CB3"/>
    <w:rsid w:val="00FD097A"/>
    <w:rsid w:val="00FD16A5"/>
    <w:rsid w:val="00FD1DE7"/>
    <w:rsid w:val="00FD24CA"/>
    <w:rsid w:val="00FD2BAF"/>
    <w:rsid w:val="00FD2DA4"/>
    <w:rsid w:val="00FD474F"/>
    <w:rsid w:val="00FD4CCC"/>
    <w:rsid w:val="00FD6655"/>
    <w:rsid w:val="00FE10E8"/>
    <w:rsid w:val="00FE273D"/>
    <w:rsid w:val="00FE2840"/>
    <w:rsid w:val="00FE28E5"/>
    <w:rsid w:val="00FE35BB"/>
    <w:rsid w:val="00FE42E6"/>
    <w:rsid w:val="00FE4F04"/>
    <w:rsid w:val="00FF0C96"/>
    <w:rsid w:val="00FF10C9"/>
    <w:rsid w:val="00FF330F"/>
    <w:rsid w:val="00FF3418"/>
    <w:rsid w:val="00FF3572"/>
    <w:rsid w:val="00FF388F"/>
    <w:rsid w:val="00FF5D32"/>
    <w:rsid w:val="00FF770D"/>
    <w:rsid w:val="00FF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F4B"/>
    <w:rPr>
      <w:sz w:val="24"/>
      <w:szCs w:val="24"/>
      <w:lang w:eastAsia="zh-TW"/>
    </w:rPr>
  </w:style>
  <w:style w:type="paragraph" w:styleId="Heading1">
    <w:name w:val="heading 1"/>
    <w:basedOn w:val="Normal"/>
    <w:next w:val="Normal"/>
    <w:qFormat/>
    <w:rsid w:val="005B1D3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2523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523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rsid w:val="00547BC2"/>
    <w:pPr>
      <w:tabs>
        <w:tab w:val="center" w:pos="4680"/>
        <w:tab w:val="right" w:pos="9360"/>
      </w:tabs>
    </w:pPr>
    <w:rPr>
      <w:rFonts w:ascii="Arial" w:hAnsi="Arial"/>
      <w:noProof/>
      <w:sz w:val="22"/>
      <w:lang w:eastAsia="en-US"/>
    </w:rPr>
  </w:style>
  <w:style w:type="paragraph" w:styleId="BodyTextIndent">
    <w:name w:val="Body Text Indent"/>
    <w:basedOn w:val="Normal"/>
    <w:next w:val="BodyTextFirstIndent"/>
    <w:autoRedefine/>
    <w:rsid w:val="009F791A"/>
    <w:pPr>
      <w:spacing w:after="120"/>
      <w:ind w:left="360" w:firstLine="720"/>
    </w:pPr>
    <w:rPr>
      <w:rFonts w:ascii="Arial" w:hAnsi="Arial"/>
      <w:sz w:val="22"/>
    </w:rPr>
  </w:style>
  <w:style w:type="paragraph" w:styleId="BodyTextFirstIndent">
    <w:name w:val="Body Text First Indent"/>
    <w:basedOn w:val="BodyText"/>
    <w:rsid w:val="009F791A"/>
    <w:pPr>
      <w:ind w:firstLine="210"/>
    </w:pPr>
    <w:rPr>
      <w:rFonts w:ascii="Times New Roman" w:hAnsi="Times New Roman"/>
      <w:sz w:val="24"/>
    </w:rPr>
  </w:style>
  <w:style w:type="paragraph" w:customStyle="1" w:styleId="Pa12">
    <w:name w:val="Pa12"/>
    <w:basedOn w:val="Normal"/>
    <w:next w:val="Normal"/>
    <w:rsid w:val="005B1D3D"/>
    <w:pPr>
      <w:autoSpaceDE w:val="0"/>
      <w:autoSpaceDN w:val="0"/>
      <w:adjustRightInd w:val="0"/>
      <w:spacing w:line="241" w:lineRule="atLeast"/>
    </w:pPr>
    <w:rPr>
      <w:rFonts w:ascii="Palatino" w:eastAsia="Calibri" w:hAnsi="Palatino"/>
      <w:lang w:eastAsia="en-US"/>
    </w:rPr>
  </w:style>
  <w:style w:type="character" w:customStyle="1" w:styleId="A2">
    <w:name w:val="A2"/>
    <w:rsid w:val="005B1D3D"/>
    <w:rPr>
      <w:rFonts w:cs="Palatino"/>
      <w:color w:val="000000"/>
      <w:sz w:val="22"/>
      <w:szCs w:val="22"/>
    </w:rPr>
  </w:style>
  <w:style w:type="paragraph" w:customStyle="1" w:styleId="Default">
    <w:name w:val="Default"/>
    <w:rsid w:val="006E7C2E"/>
    <w:pPr>
      <w:autoSpaceDE w:val="0"/>
      <w:autoSpaceDN w:val="0"/>
      <w:adjustRightInd w:val="0"/>
    </w:pPr>
    <w:rPr>
      <w:rFonts w:ascii="Palatino" w:eastAsia="Calibri" w:hAnsi="Palatino" w:cs="Palatino"/>
      <w:color w:val="000000"/>
      <w:sz w:val="24"/>
      <w:szCs w:val="24"/>
    </w:rPr>
  </w:style>
  <w:style w:type="paragraph" w:customStyle="1" w:styleId="Pa31">
    <w:name w:val="Pa31"/>
    <w:basedOn w:val="Default"/>
    <w:next w:val="Default"/>
    <w:rsid w:val="006E7C2E"/>
    <w:pPr>
      <w:spacing w:line="241" w:lineRule="atLeast"/>
    </w:pPr>
    <w:rPr>
      <w:rFonts w:cs="Times New Roman"/>
      <w:color w:val="auto"/>
    </w:rPr>
  </w:style>
  <w:style w:type="paragraph" w:customStyle="1" w:styleId="Pa24">
    <w:name w:val="Pa24"/>
    <w:basedOn w:val="Default"/>
    <w:next w:val="Default"/>
    <w:rsid w:val="00CB2DD3"/>
    <w:pPr>
      <w:spacing w:line="281" w:lineRule="atLeast"/>
    </w:pPr>
    <w:rPr>
      <w:rFonts w:eastAsia="PMingLiU" w:cs="Times New Roman"/>
      <w:color w:val="auto"/>
      <w:lang w:eastAsia="zh-TW"/>
    </w:rPr>
  </w:style>
  <w:style w:type="paragraph" w:styleId="ListParagraph">
    <w:name w:val="List Paragraph"/>
    <w:basedOn w:val="Normal"/>
    <w:uiPriority w:val="99"/>
    <w:qFormat/>
    <w:rsid w:val="002466BF"/>
    <w:pPr>
      <w:ind w:left="720"/>
    </w:pPr>
    <w:rPr>
      <w:rFonts w:ascii="Arial" w:eastAsiaTheme="minorHAnsi" w:hAnsi="Arial" w:cs="Arial"/>
      <w:lang w:eastAsia="en-US"/>
    </w:rPr>
  </w:style>
  <w:style w:type="paragraph" w:styleId="PlainText">
    <w:name w:val="Plain Text"/>
    <w:basedOn w:val="Normal"/>
    <w:link w:val="PlainTextChar"/>
    <w:uiPriority w:val="99"/>
    <w:unhideWhenUsed/>
    <w:rsid w:val="002E4EAD"/>
    <w:rPr>
      <w:rFonts w:ascii="Arial" w:eastAsia="Times New Roman" w:hAnsi="Arial"/>
      <w:color w:val="002060"/>
      <w:sz w:val="20"/>
      <w:szCs w:val="21"/>
      <w:lang w:eastAsia="en-US"/>
    </w:rPr>
  </w:style>
  <w:style w:type="character" w:customStyle="1" w:styleId="PlainTextChar">
    <w:name w:val="Plain Text Char"/>
    <w:basedOn w:val="DefaultParagraphFont"/>
    <w:link w:val="PlainText"/>
    <w:uiPriority w:val="99"/>
    <w:rsid w:val="002E4EAD"/>
    <w:rPr>
      <w:rFonts w:ascii="Arial" w:eastAsia="Times New Roman" w:hAnsi="Arial"/>
      <w:color w:val="002060"/>
      <w:szCs w:val="21"/>
    </w:rPr>
  </w:style>
  <w:style w:type="paragraph" w:styleId="NoSpacing">
    <w:name w:val="No Spacing"/>
    <w:uiPriority w:val="1"/>
    <w:qFormat/>
    <w:rsid w:val="003A6B1D"/>
    <w:rPr>
      <w:rFonts w:asciiTheme="minorHAnsi" w:eastAsiaTheme="minorHAnsi" w:hAnsiTheme="minorHAnsi" w:cstheme="minorBidi"/>
      <w:sz w:val="22"/>
      <w:szCs w:val="22"/>
    </w:rPr>
  </w:style>
  <w:style w:type="character" w:styleId="Hyperlink">
    <w:name w:val="Hyperlink"/>
    <w:basedOn w:val="DefaultParagraphFont"/>
    <w:uiPriority w:val="99"/>
    <w:unhideWhenUsed/>
    <w:rsid w:val="00BD7D42"/>
    <w:rPr>
      <w:color w:val="0000FF"/>
      <w:u w:val="single"/>
    </w:rPr>
  </w:style>
  <w:style w:type="character" w:styleId="Strong">
    <w:name w:val="Strong"/>
    <w:basedOn w:val="DefaultParagraphFont"/>
    <w:uiPriority w:val="22"/>
    <w:qFormat/>
    <w:rsid w:val="00773D3C"/>
    <w:rPr>
      <w:b/>
      <w:bCs/>
    </w:rPr>
  </w:style>
  <w:style w:type="paragraph" w:styleId="Header">
    <w:name w:val="header"/>
    <w:basedOn w:val="Normal"/>
    <w:link w:val="HeaderChar"/>
    <w:uiPriority w:val="99"/>
    <w:rsid w:val="0072043B"/>
    <w:pPr>
      <w:tabs>
        <w:tab w:val="center" w:pos="4680"/>
        <w:tab w:val="right" w:pos="9360"/>
      </w:tabs>
    </w:pPr>
  </w:style>
  <w:style w:type="character" w:customStyle="1" w:styleId="HeaderChar">
    <w:name w:val="Header Char"/>
    <w:basedOn w:val="DefaultParagraphFont"/>
    <w:link w:val="Header"/>
    <w:uiPriority w:val="99"/>
    <w:rsid w:val="0072043B"/>
    <w:rPr>
      <w:sz w:val="24"/>
      <w:szCs w:val="24"/>
      <w:lang w:eastAsia="zh-TW"/>
    </w:rPr>
  </w:style>
  <w:style w:type="paragraph" w:styleId="Footer">
    <w:name w:val="footer"/>
    <w:basedOn w:val="Normal"/>
    <w:link w:val="FooterChar"/>
    <w:uiPriority w:val="99"/>
    <w:rsid w:val="0072043B"/>
    <w:pPr>
      <w:tabs>
        <w:tab w:val="center" w:pos="4680"/>
        <w:tab w:val="right" w:pos="9360"/>
      </w:tabs>
    </w:pPr>
  </w:style>
  <w:style w:type="character" w:customStyle="1" w:styleId="FooterChar">
    <w:name w:val="Footer Char"/>
    <w:basedOn w:val="DefaultParagraphFont"/>
    <w:link w:val="Footer"/>
    <w:uiPriority w:val="99"/>
    <w:rsid w:val="0072043B"/>
    <w:rPr>
      <w:sz w:val="24"/>
      <w:szCs w:val="24"/>
      <w:lang w:eastAsia="zh-TW"/>
    </w:rPr>
  </w:style>
  <w:style w:type="paragraph" w:styleId="EndnoteText">
    <w:name w:val="endnote text"/>
    <w:basedOn w:val="Normal"/>
    <w:link w:val="EndnoteTextChar"/>
    <w:rsid w:val="00A72FFE"/>
    <w:pPr>
      <w:widowControl w:val="0"/>
      <w:autoSpaceDE w:val="0"/>
      <w:autoSpaceDN w:val="0"/>
      <w:adjustRightInd w:val="0"/>
    </w:pPr>
    <w:rPr>
      <w:rFonts w:ascii="Courier New" w:eastAsia="Times New Roman" w:hAnsi="Courier New" w:cs="Courier New"/>
      <w:sz w:val="20"/>
      <w:szCs w:val="20"/>
      <w:lang w:eastAsia="en-US"/>
    </w:rPr>
  </w:style>
  <w:style w:type="character" w:customStyle="1" w:styleId="EndnoteTextChar">
    <w:name w:val="Endnote Text Char"/>
    <w:basedOn w:val="DefaultParagraphFont"/>
    <w:link w:val="EndnoteText"/>
    <w:rsid w:val="00A72FFE"/>
    <w:rPr>
      <w:rFonts w:ascii="Courier New" w:eastAsia="Times New Roman" w:hAnsi="Courier New" w:cs="Courier New"/>
    </w:rPr>
  </w:style>
  <w:style w:type="paragraph" w:styleId="NormalWeb">
    <w:name w:val="Normal (Web)"/>
    <w:basedOn w:val="Normal"/>
    <w:uiPriority w:val="99"/>
    <w:unhideWhenUsed/>
    <w:rsid w:val="00A72FFE"/>
    <w:pPr>
      <w:spacing w:before="100" w:beforeAutospacing="1" w:after="100" w:afterAutospacing="1"/>
    </w:pPr>
    <w:rPr>
      <w:rFonts w:eastAsia="Times New Roman"/>
      <w:color w:val="000099"/>
      <w:lang w:eastAsia="en-US"/>
    </w:rPr>
  </w:style>
  <w:style w:type="paragraph" w:styleId="BalloonText">
    <w:name w:val="Balloon Text"/>
    <w:basedOn w:val="Normal"/>
    <w:link w:val="BalloonTextChar"/>
    <w:rsid w:val="00CB0397"/>
    <w:rPr>
      <w:rFonts w:ascii="Tahoma" w:hAnsi="Tahoma" w:cs="Tahoma"/>
      <w:sz w:val="16"/>
      <w:szCs w:val="16"/>
    </w:rPr>
  </w:style>
  <w:style w:type="character" w:customStyle="1" w:styleId="BalloonTextChar">
    <w:name w:val="Balloon Text Char"/>
    <w:basedOn w:val="DefaultParagraphFont"/>
    <w:link w:val="BalloonText"/>
    <w:rsid w:val="00CB0397"/>
    <w:rPr>
      <w:rFonts w:ascii="Tahoma" w:hAnsi="Tahoma" w:cs="Tahoma"/>
      <w:sz w:val="16"/>
      <w:szCs w:val="16"/>
      <w:lang w:eastAsia="zh-TW"/>
    </w:rPr>
  </w:style>
  <w:style w:type="paragraph" w:styleId="Revision">
    <w:name w:val="Revision"/>
    <w:hidden/>
    <w:uiPriority w:val="99"/>
    <w:semiHidden/>
    <w:rsid w:val="008A6955"/>
    <w:rPr>
      <w:sz w:val="24"/>
      <w:szCs w:val="24"/>
      <w:lang w:eastAsia="zh-TW"/>
    </w:rPr>
  </w:style>
  <w:style w:type="table" w:styleId="TableGrid">
    <w:name w:val="Table Grid"/>
    <w:basedOn w:val="TableNormal"/>
    <w:uiPriority w:val="59"/>
    <w:rsid w:val="00381A0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CA7912"/>
    <w:rPr>
      <w:color w:val="800080" w:themeColor="followedHyperlink"/>
      <w:u w:val="single"/>
    </w:rPr>
  </w:style>
  <w:style w:type="character" w:customStyle="1" w:styleId="style11">
    <w:name w:val="style11"/>
    <w:basedOn w:val="DefaultParagraphFont"/>
    <w:rsid w:val="00392DAE"/>
    <w:rPr>
      <w:rFonts w:ascii="Verdana" w:hAnsi="Verdana" w:hint="default"/>
    </w:rPr>
  </w:style>
  <w:style w:type="character" w:styleId="PlaceholderText">
    <w:name w:val="Placeholder Text"/>
    <w:basedOn w:val="DefaultParagraphFont"/>
    <w:uiPriority w:val="99"/>
    <w:semiHidden/>
    <w:rsid w:val="00A06FB8"/>
    <w:rPr>
      <w:color w:val="808080"/>
    </w:rPr>
  </w:style>
  <w:style w:type="table" w:customStyle="1" w:styleId="LightGrid1">
    <w:name w:val="Light Grid1"/>
    <w:basedOn w:val="TableNormal"/>
    <w:uiPriority w:val="62"/>
    <w:rsid w:val="00243CB5"/>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BodyTextChar">
    <w:name w:val="Body Text Char"/>
    <w:basedOn w:val="DefaultParagraphFont"/>
    <w:link w:val="BodyText"/>
    <w:uiPriority w:val="99"/>
    <w:rsid w:val="00A82AF0"/>
    <w:rPr>
      <w:rFonts w:ascii="Arial" w:hAnsi="Arial"/>
      <w:noProof/>
      <w:sz w:val="22"/>
      <w:szCs w:val="24"/>
    </w:rPr>
  </w:style>
</w:styles>
</file>

<file path=word/webSettings.xml><?xml version="1.0" encoding="utf-8"?>
<w:webSettings xmlns:r="http://schemas.openxmlformats.org/officeDocument/2006/relationships" xmlns:w="http://schemas.openxmlformats.org/wordprocessingml/2006/main">
  <w:divs>
    <w:div w:id="12877046">
      <w:bodyDiv w:val="1"/>
      <w:marLeft w:val="0"/>
      <w:marRight w:val="0"/>
      <w:marTop w:val="0"/>
      <w:marBottom w:val="0"/>
      <w:divBdr>
        <w:top w:val="none" w:sz="0" w:space="0" w:color="auto"/>
        <w:left w:val="none" w:sz="0" w:space="0" w:color="auto"/>
        <w:bottom w:val="none" w:sz="0" w:space="0" w:color="auto"/>
        <w:right w:val="none" w:sz="0" w:space="0" w:color="auto"/>
      </w:divBdr>
    </w:div>
    <w:div w:id="36779996">
      <w:bodyDiv w:val="1"/>
      <w:marLeft w:val="0"/>
      <w:marRight w:val="0"/>
      <w:marTop w:val="0"/>
      <w:marBottom w:val="0"/>
      <w:divBdr>
        <w:top w:val="none" w:sz="0" w:space="0" w:color="auto"/>
        <w:left w:val="none" w:sz="0" w:space="0" w:color="auto"/>
        <w:bottom w:val="none" w:sz="0" w:space="0" w:color="auto"/>
        <w:right w:val="none" w:sz="0" w:space="0" w:color="auto"/>
      </w:divBdr>
    </w:div>
    <w:div w:id="67968541">
      <w:bodyDiv w:val="1"/>
      <w:marLeft w:val="0"/>
      <w:marRight w:val="0"/>
      <w:marTop w:val="0"/>
      <w:marBottom w:val="0"/>
      <w:divBdr>
        <w:top w:val="none" w:sz="0" w:space="0" w:color="auto"/>
        <w:left w:val="none" w:sz="0" w:space="0" w:color="auto"/>
        <w:bottom w:val="none" w:sz="0" w:space="0" w:color="auto"/>
        <w:right w:val="none" w:sz="0" w:space="0" w:color="auto"/>
      </w:divBdr>
    </w:div>
    <w:div w:id="94449337">
      <w:bodyDiv w:val="1"/>
      <w:marLeft w:val="0"/>
      <w:marRight w:val="0"/>
      <w:marTop w:val="0"/>
      <w:marBottom w:val="0"/>
      <w:divBdr>
        <w:top w:val="none" w:sz="0" w:space="0" w:color="auto"/>
        <w:left w:val="none" w:sz="0" w:space="0" w:color="auto"/>
        <w:bottom w:val="none" w:sz="0" w:space="0" w:color="auto"/>
        <w:right w:val="none" w:sz="0" w:space="0" w:color="auto"/>
      </w:divBdr>
    </w:div>
    <w:div w:id="170336079">
      <w:bodyDiv w:val="1"/>
      <w:marLeft w:val="0"/>
      <w:marRight w:val="0"/>
      <w:marTop w:val="0"/>
      <w:marBottom w:val="0"/>
      <w:divBdr>
        <w:top w:val="none" w:sz="0" w:space="0" w:color="auto"/>
        <w:left w:val="none" w:sz="0" w:space="0" w:color="auto"/>
        <w:bottom w:val="none" w:sz="0" w:space="0" w:color="auto"/>
        <w:right w:val="none" w:sz="0" w:space="0" w:color="auto"/>
      </w:divBdr>
    </w:div>
    <w:div w:id="323827427">
      <w:bodyDiv w:val="1"/>
      <w:marLeft w:val="0"/>
      <w:marRight w:val="0"/>
      <w:marTop w:val="0"/>
      <w:marBottom w:val="0"/>
      <w:divBdr>
        <w:top w:val="none" w:sz="0" w:space="0" w:color="auto"/>
        <w:left w:val="none" w:sz="0" w:space="0" w:color="auto"/>
        <w:bottom w:val="none" w:sz="0" w:space="0" w:color="auto"/>
        <w:right w:val="none" w:sz="0" w:space="0" w:color="auto"/>
      </w:divBdr>
    </w:div>
    <w:div w:id="434793529">
      <w:bodyDiv w:val="1"/>
      <w:marLeft w:val="0"/>
      <w:marRight w:val="0"/>
      <w:marTop w:val="0"/>
      <w:marBottom w:val="0"/>
      <w:divBdr>
        <w:top w:val="none" w:sz="0" w:space="0" w:color="auto"/>
        <w:left w:val="none" w:sz="0" w:space="0" w:color="auto"/>
        <w:bottom w:val="none" w:sz="0" w:space="0" w:color="auto"/>
        <w:right w:val="none" w:sz="0" w:space="0" w:color="auto"/>
      </w:divBdr>
    </w:div>
    <w:div w:id="542249256">
      <w:bodyDiv w:val="1"/>
      <w:marLeft w:val="0"/>
      <w:marRight w:val="0"/>
      <w:marTop w:val="0"/>
      <w:marBottom w:val="0"/>
      <w:divBdr>
        <w:top w:val="none" w:sz="0" w:space="0" w:color="auto"/>
        <w:left w:val="none" w:sz="0" w:space="0" w:color="auto"/>
        <w:bottom w:val="none" w:sz="0" w:space="0" w:color="auto"/>
        <w:right w:val="none" w:sz="0" w:space="0" w:color="auto"/>
      </w:divBdr>
    </w:div>
    <w:div w:id="560679192">
      <w:bodyDiv w:val="1"/>
      <w:marLeft w:val="0"/>
      <w:marRight w:val="0"/>
      <w:marTop w:val="0"/>
      <w:marBottom w:val="0"/>
      <w:divBdr>
        <w:top w:val="none" w:sz="0" w:space="0" w:color="auto"/>
        <w:left w:val="none" w:sz="0" w:space="0" w:color="auto"/>
        <w:bottom w:val="none" w:sz="0" w:space="0" w:color="auto"/>
        <w:right w:val="none" w:sz="0" w:space="0" w:color="auto"/>
      </w:divBdr>
    </w:div>
    <w:div w:id="653484771">
      <w:bodyDiv w:val="1"/>
      <w:marLeft w:val="0"/>
      <w:marRight w:val="0"/>
      <w:marTop w:val="0"/>
      <w:marBottom w:val="0"/>
      <w:divBdr>
        <w:top w:val="none" w:sz="0" w:space="0" w:color="auto"/>
        <w:left w:val="none" w:sz="0" w:space="0" w:color="auto"/>
        <w:bottom w:val="none" w:sz="0" w:space="0" w:color="auto"/>
        <w:right w:val="none" w:sz="0" w:space="0" w:color="auto"/>
      </w:divBdr>
    </w:div>
    <w:div w:id="662897925">
      <w:bodyDiv w:val="1"/>
      <w:marLeft w:val="0"/>
      <w:marRight w:val="0"/>
      <w:marTop w:val="0"/>
      <w:marBottom w:val="0"/>
      <w:divBdr>
        <w:top w:val="none" w:sz="0" w:space="0" w:color="auto"/>
        <w:left w:val="none" w:sz="0" w:space="0" w:color="auto"/>
        <w:bottom w:val="none" w:sz="0" w:space="0" w:color="auto"/>
        <w:right w:val="none" w:sz="0" w:space="0" w:color="auto"/>
      </w:divBdr>
    </w:div>
    <w:div w:id="665203403">
      <w:bodyDiv w:val="1"/>
      <w:marLeft w:val="0"/>
      <w:marRight w:val="0"/>
      <w:marTop w:val="0"/>
      <w:marBottom w:val="0"/>
      <w:divBdr>
        <w:top w:val="none" w:sz="0" w:space="0" w:color="auto"/>
        <w:left w:val="none" w:sz="0" w:space="0" w:color="auto"/>
        <w:bottom w:val="none" w:sz="0" w:space="0" w:color="auto"/>
        <w:right w:val="none" w:sz="0" w:space="0" w:color="auto"/>
      </w:divBdr>
    </w:div>
    <w:div w:id="757822339">
      <w:bodyDiv w:val="1"/>
      <w:marLeft w:val="0"/>
      <w:marRight w:val="0"/>
      <w:marTop w:val="0"/>
      <w:marBottom w:val="0"/>
      <w:divBdr>
        <w:top w:val="none" w:sz="0" w:space="0" w:color="auto"/>
        <w:left w:val="none" w:sz="0" w:space="0" w:color="auto"/>
        <w:bottom w:val="none" w:sz="0" w:space="0" w:color="auto"/>
        <w:right w:val="none" w:sz="0" w:space="0" w:color="auto"/>
      </w:divBdr>
    </w:div>
    <w:div w:id="759451289">
      <w:bodyDiv w:val="1"/>
      <w:marLeft w:val="0"/>
      <w:marRight w:val="0"/>
      <w:marTop w:val="0"/>
      <w:marBottom w:val="0"/>
      <w:divBdr>
        <w:top w:val="none" w:sz="0" w:space="0" w:color="auto"/>
        <w:left w:val="none" w:sz="0" w:space="0" w:color="auto"/>
        <w:bottom w:val="none" w:sz="0" w:space="0" w:color="auto"/>
        <w:right w:val="none" w:sz="0" w:space="0" w:color="auto"/>
      </w:divBdr>
    </w:div>
    <w:div w:id="897739337">
      <w:bodyDiv w:val="1"/>
      <w:marLeft w:val="0"/>
      <w:marRight w:val="0"/>
      <w:marTop w:val="0"/>
      <w:marBottom w:val="0"/>
      <w:divBdr>
        <w:top w:val="none" w:sz="0" w:space="0" w:color="auto"/>
        <w:left w:val="none" w:sz="0" w:space="0" w:color="auto"/>
        <w:bottom w:val="none" w:sz="0" w:space="0" w:color="auto"/>
        <w:right w:val="none" w:sz="0" w:space="0" w:color="auto"/>
      </w:divBdr>
    </w:div>
    <w:div w:id="905265828">
      <w:bodyDiv w:val="1"/>
      <w:marLeft w:val="0"/>
      <w:marRight w:val="0"/>
      <w:marTop w:val="0"/>
      <w:marBottom w:val="0"/>
      <w:divBdr>
        <w:top w:val="none" w:sz="0" w:space="0" w:color="auto"/>
        <w:left w:val="none" w:sz="0" w:space="0" w:color="auto"/>
        <w:bottom w:val="none" w:sz="0" w:space="0" w:color="auto"/>
        <w:right w:val="none" w:sz="0" w:space="0" w:color="auto"/>
      </w:divBdr>
    </w:div>
    <w:div w:id="926965294">
      <w:bodyDiv w:val="1"/>
      <w:marLeft w:val="0"/>
      <w:marRight w:val="0"/>
      <w:marTop w:val="0"/>
      <w:marBottom w:val="0"/>
      <w:divBdr>
        <w:top w:val="none" w:sz="0" w:space="0" w:color="auto"/>
        <w:left w:val="none" w:sz="0" w:space="0" w:color="auto"/>
        <w:bottom w:val="none" w:sz="0" w:space="0" w:color="auto"/>
        <w:right w:val="none" w:sz="0" w:space="0" w:color="auto"/>
      </w:divBdr>
    </w:div>
    <w:div w:id="933514293">
      <w:bodyDiv w:val="1"/>
      <w:marLeft w:val="0"/>
      <w:marRight w:val="0"/>
      <w:marTop w:val="0"/>
      <w:marBottom w:val="0"/>
      <w:divBdr>
        <w:top w:val="none" w:sz="0" w:space="0" w:color="auto"/>
        <w:left w:val="none" w:sz="0" w:space="0" w:color="auto"/>
        <w:bottom w:val="none" w:sz="0" w:space="0" w:color="auto"/>
        <w:right w:val="none" w:sz="0" w:space="0" w:color="auto"/>
      </w:divBdr>
    </w:div>
    <w:div w:id="988824508">
      <w:bodyDiv w:val="1"/>
      <w:marLeft w:val="0"/>
      <w:marRight w:val="0"/>
      <w:marTop w:val="0"/>
      <w:marBottom w:val="0"/>
      <w:divBdr>
        <w:top w:val="none" w:sz="0" w:space="0" w:color="auto"/>
        <w:left w:val="none" w:sz="0" w:space="0" w:color="auto"/>
        <w:bottom w:val="none" w:sz="0" w:space="0" w:color="auto"/>
        <w:right w:val="none" w:sz="0" w:space="0" w:color="auto"/>
      </w:divBdr>
    </w:div>
    <w:div w:id="1035152282">
      <w:bodyDiv w:val="1"/>
      <w:marLeft w:val="0"/>
      <w:marRight w:val="0"/>
      <w:marTop w:val="0"/>
      <w:marBottom w:val="0"/>
      <w:divBdr>
        <w:top w:val="none" w:sz="0" w:space="0" w:color="auto"/>
        <w:left w:val="none" w:sz="0" w:space="0" w:color="auto"/>
        <w:bottom w:val="none" w:sz="0" w:space="0" w:color="auto"/>
        <w:right w:val="none" w:sz="0" w:space="0" w:color="auto"/>
      </w:divBdr>
    </w:div>
    <w:div w:id="1056973968">
      <w:bodyDiv w:val="1"/>
      <w:marLeft w:val="0"/>
      <w:marRight w:val="0"/>
      <w:marTop w:val="0"/>
      <w:marBottom w:val="0"/>
      <w:divBdr>
        <w:top w:val="none" w:sz="0" w:space="0" w:color="auto"/>
        <w:left w:val="none" w:sz="0" w:space="0" w:color="auto"/>
        <w:bottom w:val="none" w:sz="0" w:space="0" w:color="auto"/>
        <w:right w:val="none" w:sz="0" w:space="0" w:color="auto"/>
      </w:divBdr>
    </w:div>
    <w:div w:id="1098600486">
      <w:bodyDiv w:val="1"/>
      <w:marLeft w:val="0"/>
      <w:marRight w:val="0"/>
      <w:marTop w:val="0"/>
      <w:marBottom w:val="0"/>
      <w:divBdr>
        <w:top w:val="none" w:sz="0" w:space="0" w:color="auto"/>
        <w:left w:val="none" w:sz="0" w:space="0" w:color="auto"/>
        <w:bottom w:val="none" w:sz="0" w:space="0" w:color="auto"/>
        <w:right w:val="none" w:sz="0" w:space="0" w:color="auto"/>
      </w:divBdr>
    </w:div>
    <w:div w:id="1108157350">
      <w:bodyDiv w:val="1"/>
      <w:marLeft w:val="0"/>
      <w:marRight w:val="0"/>
      <w:marTop w:val="0"/>
      <w:marBottom w:val="0"/>
      <w:divBdr>
        <w:top w:val="none" w:sz="0" w:space="0" w:color="auto"/>
        <w:left w:val="none" w:sz="0" w:space="0" w:color="auto"/>
        <w:bottom w:val="none" w:sz="0" w:space="0" w:color="auto"/>
        <w:right w:val="none" w:sz="0" w:space="0" w:color="auto"/>
      </w:divBdr>
    </w:div>
    <w:div w:id="1122840676">
      <w:bodyDiv w:val="1"/>
      <w:marLeft w:val="0"/>
      <w:marRight w:val="0"/>
      <w:marTop w:val="0"/>
      <w:marBottom w:val="0"/>
      <w:divBdr>
        <w:top w:val="none" w:sz="0" w:space="0" w:color="auto"/>
        <w:left w:val="none" w:sz="0" w:space="0" w:color="auto"/>
        <w:bottom w:val="none" w:sz="0" w:space="0" w:color="auto"/>
        <w:right w:val="none" w:sz="0" w:space="0" w:color="auto"/>
      </w:divBdr>
    </w:div>
    <w:div w:id="1136871295">
      <w:bodyDiv w:val="1"/>
      <w:marLeft w:val="0"/>
      <w:marRight w:val="0"/>
      <w:marTop w:val="0"/>
      <w:marBottom w:val="0"/>
      <w:divBdr>
        <w:top w:val="none" w:sz="0" w:space="0" w:color="auto"/>
        <w:left w:val="none" w:sz="0" w:space="0" w:color="auto"/>
        <w:bottom w:val="none" w:sz="0" w:space="0" w:color="auto"/>
        <w:right w:val="none" w:sz="0" w:space="0" w:color="auto"/>
      </w:divBdr>
    </w:div>
    <w:div w:id="1197042684">
      <w:bodyDiv w:val="1"/>
      <w:marLeft w:val="0"/>
      <w:marRight w:val="0"/>
      <w:marTop w:val="0"/>
      <w:marBottom w:val="0"/>
      <w:divBdr>
        <w:top w:val="none" w:sz="0" w:space="0" w:color="auto"/>
        <w:left w:val="none" w:sz="0" w:space="0" w:color="auto"/>
        <w:bottom w:val="none" w:sz="0" w:space="0" w:color="auto"/>
        <w:right w:val="none" w:sz="0" w:space="0" w:color="auto"/>
      </w:divBdr>
    </w:div>
    <w:div w:id="1198129728">
      <w:bodyDiv w:val="1"/>
      <w:marLeft w:val="0"/>
      <w:marRight w:val="0"/>
      <w:marTop w:val="0"/>
      <w:marBottom w:val="0"/>
      <w:divBdr>
        <w:top w:val="none" w:sz="0" w:space="0" w:color="auto"/>
        <w:left w:val="none" w:sz="0" w:space="0" w:color="auto"/>
        <w:bottom w:val="none" w:sz="0" w:space="0" w:color="auto"/>
        <w:right w:val="none" w:sz="0" w:space="0" w:color="auto"/>
      </w:divBdr>
    </w:div>
    <w:div w:id="1328630726">
      <w:bodyDiv w:val="1"/>
      <w:marLeft w:val="0"/>
      <w:marRight w:val="0"/>
      <w:marTop w:val="0"/>
      <w:marBottom w:val="0"/>
      <w:divBdr>
        <w:top w:val="none" w:sz="0" w:space="0" w:color="auto"/>
        <w:left w:val="none" w:sz="0" w:space="0" w:color="auto"/>
        <w:bottom w:val="none" w:sz="0" w:space="0" w:color="auto"/>
        <w:right w:val="none" w:sz="0" w:space="0" w:color="auto"/>
      </w:divBdr>
    </w:div>
    <w:div w:id="1388455245">
      <w:bodyDiv w:val="1"/>
      <w:marLeft w:val="0"/>
      <w:marRight w:val="0"/>
      <w:marTop w:val="0"/>
      <w:marBottom w:val="0"/>
      <w:divBdr>
        <w:top w:val="none" w:sz="0" w:space="0" w:color="auto"/>
        <w:left w:val="none" w:sz="0" w:space="0" w:color="auto"/>
        <w:bottom w:val="none" w:sz="0" w:space="0" w:color="auto"/>
        <w:right w:val="none" w:sz="0" w:space="0" w:color="auto"/>
      </w:divBdr>
    </w:div>
    <w:div w:id="1473597048">
      <w:bodyDiv w:val="1"/>
      <w:marLeft w:val="0"/>
      <w:marRight w:val="0"/>
      <w:marTop w:val="0"/>
      <w:marBottom w:val="0"/>
      <w:divBdr>
        <w:top w:val="none" w:sz="0" w:space="0" w:color="auto"/>
        <w:left w:val="none" w:sz="0" w:space="0" w:color="auto"/>
        <w:bottom w:val="none" w:sz="0" w:space="0" w:color="auto"/>
        <w:right w:val="none" w:sz="0" w:space="0" w:color="auto"/>
      </w:divBdr>
    </w:div>
    <w:div w:id="1502888100">
      <w:bodyDiv w:val="1"/>
      <w:marLeft w:val="0"/>
      <w:marRight w:val="0"/>
      <w:marTop w:val="0"/>
      <w:marBottom w:val="0"/>
      <w:divBdr>
        <w:top w:val="none" w:sz="0" w:space="0" w:color="auto"/>
        <w:left w:val="none" w:sz="0" w:space="0" w:color="auto"/>
        <w:bottom w:val="none" w:sz="0" w:space="0" w:color="auto"/>
        <w:right w:val="none" w:sz="0" w:space="0" w:color="auto"/>
      </w:divBdr>
    </w:div>
    <w:div w:id="1513229237">
      <w:bodyDiv w:val="1"/>
      <w:marLeft w:val="0"/>
      <w:marRight w:val="0"/>
      <w:marTop w:val="0"/>
      <w:marBottom w:val="0"/>
      <w:divBdr>
        <w:top w:val="none" w:sz="0" w:space="0" w:color="auto"/>
        <w:left w:val="none" w:sz="0" w:space="0" w:color="auto"/>
        <w:bottom w:val="none" w:sz="0" w:space="0" w:color="auto"/>
        <w:right w:val="none" w:sz="0" w:space="0" w:color="auto"/>
      </w:divBdr>
    </w:div>
    <w:div w:id="1631278804">
      <w:bodyDiv w:val="1"/>
      <w:marLeft w:val="0"/>
      <w:marRight w:val="0"/>
      <w:marTop w:val="0"/>
      <w:marBottom w:val="0"/>
      <w:divBdr>
        <w:top w:val="none" w:sz="0" w:space="0" w:color="auto"/>
        <w:left w:val="none" w:sz="0" w:space="0" w:color="auto"/>
        <w:bottom w:val="none" w:sz="0" w:space="0" w:color="auto"/>
        <w:right w:val="none" w:sz="0" w:space="0" w:color="auto"/>
      </w:divBdr>
    </w:div>
    <w:div w:id="1632326226">
      <w:bodyDiv w:val="1"/>
      <w:marLeft w:val="0"/>
      <w:marRight w:val="0"/>
      <w:marTop w:val="0"/>
      <w:marBottom w:val="0"/>
      <w:divBdr>
        <w:top w:val="none" w:sz="0" w:space="0" w:color="auto"/>
        <w:left w:val="none" w:sz="0" w:space="0" w:color="auto"/>
        <w:bottom w:val="none" w:sz="0" w:space="0" w:color="auto"/>
        <w:right w:val="none" w:sz="0" w:space="0" w:color="auto"/>
      </w:divBdr>
    </w:div>
    <w:div w:id="1678389414">
      <w:bodyDiv w:val="1"/>
      <w:marLeft w:val="0"/>
      <w:marRight w:val="0"/>
      <w:marTop w:val="0"/>
      <w:marBottom w:val="0"/>
      <w:divBdr>
        <w:top w:val="none" w:sz="0" w:space="0" w:color="auto"/>
        <w:left w:val="none" w:sz="0" w:space="0" w:color="auto"/>
        <w:bottom w:val="none" w:sz="0" w:space="0" w:color="auto"/>
        <w:right w:val="none" w:sz="0" w:space="0" w:color="auto"/>
      </w:divBdr>
    </w:div>
    <w:div w:id="1706175201">
      <w:bodyDiv w:val="1"/>
      <w:marLeft w:val="0"/>
      <w:marRight w:val="0"/>
      <w:marTop w:val="0"/>
      <w:marBottom w:val="0"/>
      <w:divBdr>
        <w:top w:val="none" w:sz="0" w:space="0" w:color="auto"/>
        <w:left w:val="none" w:sz="0" w:space="0" w:color="auto"/>
        <w:bottom w:val="none" w:sz="0" w:space="0" w:color="auto"/>
        <w:right w:val="none" w:sz="0" w:space="0" w:color="auto"/>
      </w:divBdr>
    </w:div>
    <w:div w:id="1753579517">
      <w:bodyDiv w:val="1"/>
      <w:marLeft w:val="0"/>
      <w:marRight w:val="0"/>
      <w:marTop w:val="0"/>
      <w:marBottom w:val="0"/>
      <w:divBdr>
        <w:top w:val="none" w:sz="0" w:space="0" w:color="auto"/>
        <w:left w:val="none" w:sz="0" w:space="0" w:color="auto"/>
        <w:bottom w:val="none" w:sz="0" w:space="0" w:color="auto"/>
        <w:right w:val="none" w:sz="0" w:space="0" w:color="auto"/>
      </w:divBdr>
    </w:div>
    <w:div w:id="1766419872">
      <w:bodyDiv w:val="1"/>
      <w:marLeft w:val="0"/>
      <w:marRight w:val="0"/>
      <w:marTop w:val="0"/>
      <w:marBottom w:val="0"/>
      <w:divBdr>
        <w:top w:val="none" w:sz="0" w:space="0" w:color="auto"/>
        <w:left w:val="none" w:sz="0" w:space="0" w:color="auto"/>
        <w:bottom w:val="none" w:sz="0" w:space="0" w:color="auto"/>
        <w:right w:val="none" w:sz="0" w:space="0" w:color="auto"/>
      </w:divBdr>
    </w:div>
    <w:div w:id="1807434350">
      <w:bodyDiv w:val="1"/>
      <w:marLeft w:val="0"/>
      <w:marRight w:val="0"/>
      <w:marTop w:val="0"/>
      <w:marBottom w:val="0"/>
      <w:divBdr>
        <w:top w:val="none" w:sz="0" w:space="0" w:color="auto"/>
        <w:left w:val="none" w:sz="0" w:space="0" w:color="auto"/>
        <w:bottom w:val="none" w:sz="0" w:space="0" w:color="auto"/>
        <w:right w:val="none" w:sz="0" w:space="0" w:color="auto"/>
      </w:divBdr>
    </w:div>
    <w:div w:id="1849254684">
      <w:bodyDiv w:val="1"/>
      <w:marLeft w:val="0"/>
      <w:marRight w:val="0"/>
      <w:marTop w:val="0"/>
      <w:marBottom w:val="0"/>
      <w:divBdr>
        <w:top w:val="none" w:sz="0" w:space="0" w:color="auto"/>
        <w:left w:val="none" w:sz="0" w:space="0" w:color="auto"/>
        <w:bottom w:val="none" w:sz="0" w:space="0" w:color="auto"/>
        <w:right w:val="none" w:sz="0" w:space="0" w:color="auto"/>
      </w:divBdr>
    </w:div>
    <w:div w:id="1907955142">
      <w:bodyDiv w:val="1"/>
      <w:marLeft w:val="0"/>
      <w:marRight w:val="0"/>
      <w:marTop w:val="0"/>
      <w:marBottom w:val="0"/>
      <w:divBdr>
        <w:top w:val="none" w:sz="0" w:space="0" w:color="auto"/>
        <w:left w:val="none" w:sz="0" w:space="0" w:color="auto"/>
        <w:bottom w:val="none" w:sz="0" w:space="0" w:color="auto"/>
        <w:right w:val="none" w:sz="0" w:space="0" w:color="auto"/>
      </w:divBdr>
    </w:div>
    <w:div w:id="1996370877">
      <w:bodyDiv w:val="1"/>
      <w:marLeft w:val="0"/>
      <w:marRight w:val="0"/>
      <w:marTop w:val="0"/>
      <w:marBottom w:val="0"/>
      <w:divBdr>
        <w:top w:val="none" w:sz="0" w:space="0" w:color="auto"/>
        <w:left w:val="none" w:sz="0" w:space="0" w:color="auto"/>
        <w:bottom w:val="none" w:sz="0" w:space="0" w:color="auto"/>
        <w:right w:val="none" w:sz="0" w:space="0" w:color="auto"/>
      </w:divBdr>
    </w:div>
    <w:div w:id="2005431242">
      <w:bodyDiv w:val="1"/>
      <w:marLeft w:val="0"/>
      <w:marRight w:val="0"/>
      <w:marTop w:val="0"/>
      <w:marBottom w:val="0"/>
      <w:divBdr>
        <w:top w:val="none" w:sz="0" w:space="0" w:color="auto"/>
        <w:left w:val="none" w:sz="0" w:space="0" w:color="auto"/>
        <w:bottom w:val="none" w:sz="0" w:space="0" w:color="auto"/>
        <w:right w:val="none" w:sz="0" w:space="0" w:color="auto"/>
      </w:divBdr>
    </w:div>
    <w:div w:id="2016298112">
      <w:bodyDiv w:val="1"/>
      <w:marLeft w:val="0"/>
      <w:marRight w:val="0"/>
      <w:marTop w:val="0"/>
      <w:marBottom w:val="0"/>
      <w:divBdr>
        <w:top w:val="none" w:sz="0" w:space="0" w:color="auto"/>
        <w:left w:val="none" w:sz="0" w:space="0" w:color="auto"/>
        <w:bottom w:val="none" w:sz="0" w:space="0" w:color="auto"/>
        <w:right w:val="none" w:sz="0" w:space="0" w:color="auto"/>
      </w:divBdr>
    </w:div>
    <w:div w:id="2079670664">
      <w:bodyDiv w:val="1"/>
      <w:marLeft w:val="0"/>
      <w:marRight w:val="0"/>
      <w:marTop w:val="0"/>
      <w:marBottom w:val="0"/>
      <w:divBdr>
        <w:top w:val="none" w:sz="0" w:space="0" w:color="auto"/>
        <w:left w:val="none" w:sz="0" w:space="0" w:color="auto"/>
        <w:bottom w:val="none" w:sz="0" w:space="0" w:color="auto"/>
        <w:right w:val="none" w:sz="0" w:space="0" w:color="auto"/>
      </w:divBdr>
    </w:div>
    <w:div w:id="21444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tech.edu/student_life/disability/" TargetMode="External"/><Relationship Id="rId21" Type="http://schemas.openxmlformats.org/officeDocument/2006/relationships/footer" Target="footer1.xml"/><Relationship Id="rId42" Type="http://schemas.openxmlformats.org/officeDocument/2006/relationships/image" Target="media/image6.wmf"/><Relationship Id="rId47" Type="http://schemas.openxmlformats.org/officeDocument/2006/relationships/hyperlink" Target="http://www.mtech.edu/onestop/registrar/forms.htm" TargetMode="External"/><Relationship Id="rId63" Type="http://schemas.openxmlformats.org/officeDocument/2006/relationships/hyperlink" Target="http://www.mtech.edu/career/surveys/index.htm" TargetMode="External"/><Relationship Id="rId68" Type="http://schemas.openxmlformats.org/officeDocument/2006/relationships/image" Target="media/image17.emf"/><Relationship Id="rId84" Type="http://schemas.openxmlformats.org/officeDocument/2006/relationships/hyperlink" Target="http://www.mtech.edu/about/strives.html" TargetMode="External"/><Relationship Id="rId89" Type="http://schemas.openxmlformats.org/officeDocument/2006/relationships/hyperlink" Target="http://www.mtech.edu/accreditation/exhibits/standard3/Exhibit%203.B.IV.%20-%20Safety%20policy%20rev%208-09.docx" TargetMode="External"/><Relationship Id="rId7" Type="http://schemas.openxmlformats.org/officeDocument/2006/relationships/endnotes" Target="endnotes.xml"/><Relationship Id="rId71" Type="http://schemas.openxmlformats.org/officeDocument/2006/relationships/image" Target="media/image18.emf"/><Relationship Id="rId92" Type="http://schemas.openxmlformats.org/officeDocument/2006/relationships/hyperlink" Target="http://www.mtech.edu/accreditation/exhibits/standard3/Noel_Levitz_North_Campus_2005-2007.pdf" TargetMode="External"/><Relationship Id="rId2" Type="http://schemas.openxmlformats.org/officeDocument/2006/relationships/numbering" Target="numbering.xml"/><Relationship Id="rId16" Type="http://schemas.openxmlformats.org/officeDocument/2006/relationships/hyperlink" Target="http://www.mtech.edu/career/" TargetMode="External"/><Relationship Id="rId29" Type="http://schemas.openxmlformats.org/officeDocument/2006/relationships/hyperlink" Target="http://www.mtech.edu/accreditation/exhibits/standard3/Exhibit%203.B.11%20-%20ASMT%20Constitution.pdf" TargetMode="External"/><Relationship Id="rId107" Type="http://schemas.openxmlformats.org/officeDocument/2006/relationships/theme" Target="theme/theme1.xml"/><Relationship Id="rId11" Type="http://schemas.openxmlformats.org/officeDocument/2006/relationships/hyperlink" Target="http://www.mtech.edu/onestop/admission/counselors/WhichCampus.asp" TargetMode="External"/><Relationship Id="rId24" Type="http://schemas.openxmlformats.org/officeDocument/2006/relationships/hyperlink" Target="http://www.mtech.edu/accreditation/exhibits/standard3/Exhibit%203.A.V.%20-%20Auxiliary%20Projects%202010%20-%20updated%2011-13-09.xlsx" TargetMode="External"/><Relationship Id="rId32" Type="http://schemas.openxmlformats.org/officeDocument/2006/relationships/hyperlink" Target="http://www.mtech.edu/accreditation/exhibits/standard3/Exhibit%203.B.111%20-%20College%20Community%20Expectations%202005.doc" TargetMode="External"/><Relationship Id="rId37" Type="http://schemas.openxmlformats.org/officeDocument/2006/relationships/hyperlink" Target="http://www.mtech.edu/student_life/security/" TargetMode="External"/><Relationship Id="rId40" Type="http://schemas.openxmlformats.org/officeDocument/2006/relationships/hyperlink" Target="http://www.mtech.edu/student_life/tech_handbook.pdf" TargetMode="External"/><Relationship Id="rId45" Type="http://schemas.openxmlformats.org/officeDocument/2006/relationships/hyperlink" Target="http://www.mtech.edu/accreditation/exhibits/general/Exhibit%20G.I%202009-010%20Montana%20Tech%20Catalog.pdf" TargetMode="External"/><Relationship Id="rId53" Type="http://schemas.openxmlformats.org/officeDocument/2006/relationships/hyperlink" Target="http://www.mtech.edu/accreditation/exhibits/standard3/Exhibit%203.D.IV.%20-%20SEM%20Scholarship%20Draft%200501.doc" TargetMode="External"/><Relationship Id="rId58" Type="http://schemas.openxmlformats.org/officeDocument/2006/relationships/hyperlink" Target="http://www.mtech.edu/accreditation/exhibits/standard3/Exhibit%203.D.VI.%20-%20Major%20Exploration%20Brochure.pdf" TargetMode="External"/><Relationship Id="rId66" Type="http://schemas.openxmlformats.org/officeDocument/2006/relationships/hyperlink" Target="http://www.mtech.edu/accreditation/exhibits/standard3/Exhibit%203.D.V.III%20-%20STUDENT%20HEALTH%20CENTER%20COMPARISON%20CHART.doc" TargetMode="External"/><Relationship Id="rId74" Type="http://schemas.openxmlformats.org/officeDocument/2006/relationships/hyperlink" Target="http://www.mtech.edu/accreditation/exhibits/standard3/Exhibit%203.D.XI%20-%20student%20organization%20application.docx" TargetMode="External"/><Relationship Id="rId79" Type="http://schemas.openxmlformats.org/officeDocument/2006/relationships/image" Target="media/image22.emf"/><Relationship Id="rId87" Type="http://schemas.openxmlformats.org/officeDocument/2006/relationships/hyperlink" Target="http://www.mtech.edu/accreditation/exhibits/standard3/Exhibit%203.B.11%20-%20ASMT%20Constitution.pdf" TargetMode="External"/><Relationship Id="rId102" Type="http://schemas.openxmlformats.org/officeDocument/2006/relationships/hyperlink" Target="http://www.mtech.edu/clubs/" TargetMode="External"/><Relationship Id="rId5" Type="http://schemas.openxmlformats.org/officeDocument/2006/relationships/webSettings" Target="webSettings.xml"/><Relationship Id="rId61" Type="http://schemas.openxmlformats.org/officeDocument/2006/relationships/hyperlink" Target="http://www.mtech.edu/career/surveys" TargetMode="External"/><Relationship Id="rId82" Type="http://schemas.openxmlformats.org/officeDocument/2006/relationships/hyperlink" Target="http://www.mtech.edu/accreditation/exhibits/general/Exhibit%20G.I%202009-010%20Montana%20Tech%20Catalog.pdf" TargetMode="External"/><Relationship Id="rId90" Type="http://schemas.openxmlformats.org/officeDocument/2006/relationships/hyperlink" Target="http://www.mtech.edu/accreditation/exhibits/standard3/Exhibit%203.B.V.%20-%20Emergency%20Plan%20revisionTOC%201-09.doc" TargetMode="External"/><Relationship Id="rId95" Type="http://schemas.openxmlformats.org/officeDocument/2006/relationships/hyperlink" Target="http://www.mtech.edu/onestop/registrar/forms.htm" TargetMode="External"/><Relationship Id="rId19" Type="http://schemas.openxmlformats.org/officeDocument/2006/relationships/hyperlink" Target="http://www.mtech.edu/student_life/healthcenter.htm" TargetMode="External"/><Relationship Id="rId14" Type="http://schemas.openxmlformats.org/officeDocument/2006/relationships/hyperlink" Target="http://www.mtech.edu/sub" TargetMode="External"/><Relationship Id="rId22" Type="http://schemas.openxmlformats.org/officeDocument/2006/relationships/hyperlink" Target="http://www.mtech.edu/accreditation/exhibits/general/Exhibit%20G.I%202009-010%20Montana%20Tech%20Catalog.pdf" TargetMode="External"/><Relationship Id="rId27" Type="http://schemas.openxmlformats.org/officeDocument/2006/relationships/hyperlink" Target="http://msudw.msu.montana.edu:9030/wfez/owa/musxfer.p_CCN_MAIN" TargetMode="External"/><Relationship Id="rId30" Type="http://schemas.openxmlformats.org/officeDocument/2006/relationships/hyperlink" Target="http://www.mtech.edu/student_life/tech_handbook.pdf" TargetMode="External"/><Relationship Id="rId35" Type="http://schemas.openxmlformats.org/officeDocument/2006/relationships/hyperlink" Target="http://www.mtech.edu/accreditation/exhibits/standard3/Exhibit%203.B.V.%20-%20Emergency%20Plan%20revisionTOC%201-09.doc" TargetMode="External"/><Relationship Id="rId43" Type="http://schemas.openxmlformats.org/officeDocument/2006/relationships/image" Target="media/image7.wmf"/><Relationship Id="rId48" Type="http://schemas.openxmlformats.org/officeDocument/2006/relationships/hyperlink" Target="http://www.mtech.edu/onestop/grad_comp_rates.html" TargetMode="External"/><Relationship Id="rId56" Type="http://schemas.openxmlformats.org/officeDocument/2006/relationships/hyperlink" Target="http://www.mtech.edu/accreditation/exhibits/standard3/Exhibit%203.D.V.%20-%20Orientation%20-%20MT%20Tech%20Fall%202009%20Tech%20Express.pdf" TargetMode="External"/><Relationship Id="rId64" Type="http://schemas.openxmlformats.org/officeDocument/2006/relationships/hyperlink" Target="http://www.mtech.edu/accreditation/exhibits/standard3/Exhibit%203.D.VII%20gradsurvey2008.pdf" TargetMode="External"/><Relationship Id="rId69" Type="http://schemas.openxmlformats.org/officeDocument/2006/relationships/hyperlink" Target="http://www.mtech.edu/student_life/counseling/" TargetMode="External"/><Relationship Id="rId77" Type="http://schemas.openxmlformats.org/officeDocument/2006/relationships/image" Target="media/image21.emf"/><Relationship Id="rId100" Type="http://schemas.openxmlformats.org/officeDocument/2006/relationships/hyperlink" Target="http://www.mtech.edu/accreditation/exhibits/standard3/Exhibit%203.D.V.III%20-%20STUDENT%20HEALTH%20CENTER%20COMPARISON%20CHART.doc" TargetMode="External"/><Relationship Id="rId105" Type="http://schemas.openxmlformats.org/officeDocument/2006/relationships/hyperlink" Target="http://www.mtech.edu/student_life/security/" TargetMode="External"/><Relationship Id="rId8" Type="http://schemas.openxmlformats.org/officeDocument/2006/relationships/image" Target="media/image1.emf"/><Relationship Id="rId51" Type="http://schemas.openxmlformats.org/officeDocument/2006/relationships/image" Target="media/image9.wmf"/><Relationship Id="rId72" Type="http://schemas.openxmlformats.org/officeDocument/2006/relationships/image" Target="media/image19.emf"/><Relationship Id="rId80" Type="http://schemas.openxmlformats.org/officeDocument/2006/relationships/hyperlink" Target="http://www.mtech.edu/accreditation/exhibits/general/Exhibit%20G.I%202009-010%20Montana%20Tech%20Catalog.pdf" TargetMode="External"/><Relationship Id="rId85" Type="http://schemas.openxmlformats.org/officeDocument/2006/relationships/hyperlink" Target="http://www.mtech.edu/accreditation/exhibits/standard3/Exhibit%203.A.V.%20-%20Auxiliary%20Projects%202010%20-%20updated%2011-13-09.xlsx" TargetMode="External"/><Relationship Id="rId93" Type="http://schemas.openxmlformats.org/officeDocument/2006/relationships/hyperlink" Target="http://www.mtech.edu/accreditation/exhibits/standard3/Noel_Levitz_South_Campus_2005-2007.pdf" TargetMode="External"/><Relationship Id="rId98" Type="http://schemas.openxmlformats.org/officeDocument/2006/relationships/hyperlink" Target="http://www.mtech.edu/accreditation/exhibits/standard3/Exhibit%203.D.VI.%20-%20Major%20Exploration%20Brochure.pdf" TargetMode="External"/><Relationship Id="rId3" Type="http://schemas.openxmlformats.org/officeDocument/2006/relationships/styles" Target="styles.xml"/><Relationship Id="rId12" Type="http://schemas.openxmlformats.org/officeDocument/2006/relationships/hyperlink" Target="http://www.mtech.edu/student_life/counseling/" TargetMode="External"/><Relationship Id="rId17" Type="http://schemas.openxmlformats.org/officeDocument/2006/relationships/hyperlink" Target="http://www.mtech.edu/pr/" TargetMode="External"/><Relationship Id="rId25" Type="http://schemas.openxmlformats.org/officeDocument/2006/relationships/image" Target="media/image2.wmf"/><Relationship Id="rId33" Type="http://schemas.openxmlformats.org/officeDocument/2006/relationships/image" Target="media/image4.emf"/><Relationship Id="rId38" Type="http://schemas.openxmlformats.org/officeDocument/2006/relationships/hyperlink" Target="http://www.mtech.edu/student_life/security/" TargetMode="External"/><Relationship Id="rId46" Type="http://schemas.openxmlformats.org/officeDocument/2006/relationships/hyperlink" Target="http://www.mtech.edu/accreditation/exhibits/standard3/Exhibit%203.D.1%20-%20Offender%20Admission%20Matrix.doc" TargetMode="External"/><Relationship Id="rId59" Type="http://schemas.openxmlformats.org/officeDocument/2006/relationships/image" Target="media/image13.png"/><Relationship Id="rId67" Type="http://schemas.openxmlformats.org/officeDocument/2006/relationships/hyperlink" Target="http://www.mtech.edu/student_life/healthcenter.htm" TargetMode="External"/><Relationship Id="rId103" Type="http://schemas.openxmlformats.org/officeDocument/2006/relationships/hyperlink" Target="http://www.mtech.edu/accreditation/exhibits/standard3/Exhibit%203.D.XI%20-%20student%20organization%20application.docx" TargetMode="External"/><Relationship Id="rId20" Type="http://schemas.openxmlformats.org/officeDocument/2006/relationships/hyperlink" Target="http://www.mtech.edu/dining_services/" TargetMode="External"/><Relationship Id="rId41" Type="http://schemas.openxmlformats.org/officeDocument/2006/relationships/image" Target="media/image5.emf"/><Relationship Id="rId54" Type="http://schemas.openxmlformats.org/officeDocument/2006/relationships/image" Target="media/image10.emf"/><Relationship Id="rId62" Type="http://schemas.openxmlformats.org/officeDocument/2006/relationships/image" Target="media/image15.png"/><Relationship Id="rId70" Type="http://schemas.openxmlformats.org/officeDocument/2006/relationships/hyperlink" Target="http://www.mtech.edu/accreditation/exhibits/standard3/Exhibit%203.D.IX%20-%20Residence%20Hall%20Handbook.pdf" TargetMode="External"/><Relationship Id="rId75" Type="http://schemas.openxmlformats.org/officeDocument/2006/relationships/image" Target="media/image20.emf"/><Relationship Id="rId83" Type="http://schemas.openxmlformats.org/officeDocument/2006/relationships/hyperlink" Target="http://www.mtech.edu/accreditation/exhibits/standard3/Exhibit%203.A.IV%20-%20Perf%20Review%20Tech.doc" TargetMode="External"/><Relationship Id="rId88" Type="http://schemas.openxmlformats.org/officeDocument/2006/relationships/hyperlink" Target="http://www.mtech.edu/accreditation/exhibits/standard3/Exhibit%203.B.111%20-%20College%20Community%20Expectations%202005.doc" TargetMode="External"/><Relationship Id="rId91" Type="http://schemas.openxmlformats.org/officeDocument/2006/relationships/hyperlink" Target="http://www.mtech.edu/accreditation/exhibits/standard3/Exhibit%203.B.V%20-%20Student%20Life%20Programs%20Emergency%20Procedures.doc" TargetMode="External"/><Relationship Id="rId96" Type="http://schemas.openxmlformats.org/officeDocument/2006/relationships/hyperlink" Target="http://www.mtech.edu/accreditation/exhibits/standard3/Exhibit%203.D.IV.%20-%20SEM%20Scholarship%20Draft%200501.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tech.edu/residence_life/" TargetMode="External"/><Relationship Id="rId23" Type="http://schemas.openxmlformats.org/officeDocument/2006/relationships/hyperlink" Target="http://www.mtech.edu/student_life/tech_handbook.pdf" TargetMode="External"/><Relationship Id="rId28" Type="http://schemas.openxmlformats.org/officeDocument/2006/relationships/image" Target="media/image3.emf"/><Relationship Id="rId36" Type="http://schemas.openxmlformats.org/officeDocument/2006/relationships/hyperlink" Target="http://www.mtech.edu/accreditation/exhibits/standard3/Exhibit%203.B.V%20-%20Student%20Life%20Programs%20Emergency%20Procedures.doc" TargetMode="External"/><Relationship Id="rId49" Type="http://schemas.openxmlformats.org/officeDocument/2006/relationships/hyperlink" Target="http://www.mtech.edu/student_life/security/" TargetMode="External"/><Relationship Id="rId57" Type="http://schemas.openxmlformats.org/officeDocument/2006/relationships/image" Target="media/image12.emf"/><Relationship Id="rId106" Type="http://schemas.openxmlformats.org/officeDocument/2006/relationships/fontTable" Target="fontTable.xml"/><Relationship Id="rId10" Type="http://schemas.openxmlformats.org/officeDocument/2006/relationships/hyperlink" Target="http://www.mtech.edu/accreditation/exhibits/standard3/Exhibit%203.A.I%20-%20Enrollment%20Services%20Org%20Chart.docx" TargetMode="External"/><Relationship Id="rId31" Type="http://schemas.openxmlformats.org/officeDocument/2006/relationships/hyperlink" Target="http://www.mtech.edu/accreditation/exhibits/standard3/Exhibit%203.B.111%20-%20College%20Community%20Expectations%202005.doc" TargetMode="External"/><Relationship Id="rId44" Type="http://schemas.openxmlformats.org/officeDocument/2006/relationships/image" Target="media/image8.emf"/><Relationship Id="rId52" Type="http://schemas.openxmlformats.org/officeDocument/2006/relationships/hyperlink" Target="http://www.studentaid.ed.gov" TargetMode="External"/><Relationship Id="rId60" Type="http://schemas.openxmlformats.org/officeDocument/2006/relationships/image" Target="media/image14.png"/><Relationship Id="rId65" Type="http://schemas.openxmlformats.org/officeDocument/2006/relationships/image" Target="media/image16.png"/><Relationship Id="rId73" Type="http://schemas.openxmlformats.org/officeDocument/2006/relationships/hyperlink" Target="http://www.mtech.edu/clubs/" TargetMode="External"/><Relationship Id="rId78" Type="http://schemas.openxmlformats.org/officeDocument/2006/relationships/hyperlink" Target="http://www.mtech.edu/onestop/grad_comp_rates.html" TargetMode="External"/><Relationship Id="rId81" Type="http://schemas.openxmlformats.org/officeDocument/2006/relationships/hyperlink" Target="http://www.mtech.edu/accreditation/exhibits/standard3/Exhibit%203.A.I%20-%20Enrollment%20Services%20Org%20Chart.docx" TargetMode="External"/><Relationship Id="rId86" Type="http://schemas.openxmlformats.org/officeDocument/2006/relationships/hyperlink" Target="http://www.mtech.edu/student_life/tech_handbook.pdf" TargetMode="External"/><Relationship Id="rId94" Type="http://schemas.openxmlformats.org/officeDocument/2006/relationships/hyperlink" Target="http://www.mtech.edu/accreditation/exhibits/standard3/Exhibit%203.D.1%20-%20Offender%20Admission%20Matrix.doc" TargetMode="External"/><Relationship Id="rId99" Type="http://schemas.openxmlformats.org/officeDocument/2006/relationships/hyperlink" Target="http://www.mtech.edu/career/surveys/index.htm" TargetMode="External"/><Relationship Id="rId101" Type="http://schemas.openxmlformats.org/officeDocument/2006/relationships/hyperlink" Target="http://www.mtech.edu/residence_life/Handbook.pdf"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www.mtech.edu/student_life/international/" TargetMode="External"/><Relationship Id="rId18" Type="http://schemas.openxmlformats.org/officeDocument/2006/relationships/hyperlink" Target="http://go.mtech.edu/Page.aspx?pid=395" TargetMode="External"/><Relationship Id="rId39" Type="http://schemas.openxmlformats.org/officeDocument/2006/relationships/hyperlink" Target="http://www.mtech.edu/accreditation/exhibits/general/Exhibit%20G.I%202009-010%20Montana%20Tech%20Catalog.pdf" TargetMode="External"/><Relationship Id="rId34" Type="http://schemas.openxmlformats.org/officeDocument/2006/relationships/hyperlink" Target="http://www.mtech.edu/accreditation/exhibits/standard3/Exhibit%203.B.IV.%20-%20Safety%20policy%20rev%208-09.docx" TargetMode="External"/><Relationship Id="rId50" Type="http://schemas.openxmlformats.org/officeDocument/2006/relationships/footer" Target="footer2.xml"/><Relationship Id="rId55" Type="http://schemas.openxmlformats.org/officeDocument/2006/relationships/image" Target="media/image11.emf"/><Relationship Id="rId76" Type="http://schemas.openxmlformats.org/officeDocument/2006/relationships/hyperlink" Target="http://www.montanatechbookstore.com/" TargetMode="External"/><Relationship Id="rId97" Type="http://schemas.openxmlformats.org/officeDocument/2006/relationships/hyperlink" Target="http://www.mtech.edu/accreditation/exhibits/standard3/Exhibit%203.D.V.%20-%20Orientation%20-%20MT%20Tech%20Fall%202009%20Tech%20Express.pdf" TargetMode="External"/><Relationship Id="rId104" Type="http://schemas.openxmlformats.org/officeDocument/2006/relationships/hyperlink" Target="http://www.mtech.edu/onestop/grad_comp_rat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eatty.MTECHS\Local%20Settings\Temporary%20Internet%20Files\Content.Outlook\PAKV880Q\Standar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A91C7-79FC-4289-B5FD-FBF0840B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(3).dot</Template>
  <TotalTime>8</TotalTime>
  <Pages>1</Pages>
  <Words>19755</Words>
  <Characters>112605</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Standard 2</vt:lpstr>
    </vt:vector>
  </TitlesOfParts>
  <Company>UofM</Company>
  <LinksUpToDate>false</LinksUpToDate>
  <CharactersWithSpaces>132096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2</dc:title>
  <dc:subject/>
  <dc:creator>Paul Beatty</dc:creator>
  <cp:keywords/>
  <dc:description/>
  <cp:lastModifiedBy>Paul Beatty</cp:lastModifiedBy>
  <cp:revision>6</cp:revision>
  <cp:lastPrinted>2010-01-26T23:57:00Z</cp:lastPrinted>
  <dcterms:created xsi:type="dcterms:W3CDTF">2010-01-29T18:00:00Z</dcterms:created>
  <dcterms:modified xsi:type="dcterms:W3CDTF">2010-01-29T21:08:00Z</dcterms:modified>
</cp:coreProperties>
</file>